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2104" w:type="dxa"/>
        <w:jc w:val="center"/>
        <w:tblCellMar>
          <w:top w:w="68" w:type="dxa"/>
          <w:bottom w:w="68" w:type="dxa"/>
        </w:tblCellMar>
        <w:tblLook w:val="04A0" w:firstRow="1" w:lastRow="0" w:firstColumn="1" w:lastColumn="0" w:noHBand="0" w:noVBand="1"/>
      </w:tblPr>
      <w:tblGrid>
        <w:gridCol w:w="2253"/>
        <w:gridCol w:w="3513"/>
        <w:gridCol w:w="2435"/>
        <w:gridCol w:w="2988"/>
        <w:gridCol w:w="2410"/>
        <w:gridCol w:w="2125"/>
        <w:gridCol w:w="3773"/>
        <w:gridCol w:w="2607"/>
      </w:tblGrid>
      <w:tr w:rsidR="00487D14" w:rsidRPr="00EE1C77" w:rsidTr="00487D14">
        <w:trPr>
          <w:tblHeader/>
          <w:jc w:val="center"/>
        </w:trPr>
        <w:tc>
          <w:tcPr>
            <w:tcW w:w="2253" w:type="dxa"/>
            <w:vMerge w:val="restart"/>
            <w:tcBorders>
              <w:top w:val="single" w:sz="4" w:space="0" w:color="auto"/>
              <w:left w:val="single" w:sz="4" w:space="0" w:color="auto"/>
              <w:right w:val="single" w:sz="4" w:space="0" w:color="auto"/>
            </w:tcBorders>
            <w:shd w:val="clear" w:color="auto" w:fill="32464D"/>
          </w:tcPr>
          <w:p w:rsidR="00487D14" w:rsidRPr="00487D14" w:rsidRDefault="00487D14">
            <w:pPr>
              <w:rPr>
                <w:rFonts w:cs="Arial"/>
                <w:b/>
                <w:color w:val="FFFFFF" w:themeColor="background1"/>
                <w:sz w:val="18"/>
                <w:szCs w:val="18"/>
              </w:rPr>
            </w:pPr>
          </w:p>
        </w:tc>
        <w:tc>
          <w:tcPr>
            <w:tcW w:w="13471" w:type="dxa"/>
            <w:gridSpan w:val="5"/>
            <w:tcBorders>
              <w:top w:val="single" w:sz="4" w:space="0" w:color="auto"/>
              <w:left w:val="single" w:sz="4" w:space="0" w:color="auto"/>
              <w:bottom w:val="single" w:sz="4" w:space="0" w:color="auto"/>
              <w:right w:val="single" w:sz="4" w:space="0" w:color="auto"/>
            </w:tcBorders>
            <w:shd w:val="clear" w:color="auto" w:fill="32464D"/>
            <w:vAlign w:val="center"/>
          </w:tcPr>
          <w:p w:rsidR="00487D14" w:rsidRPr="00EE1C77" w:rsidRDefault="00487D14" w:rsidP="002A0E76">
            <w:pPr>
              <w:spacing w:before="120" w:after="120"/>
              <w:jc w:val="center"/>
              <w:rPr>
                <w:rFonts w:eastAsia="Times New Roman" w:cs="Arial"/>
                <w:b/>
                <w:bCs/>
                <w:color w:val="FFFFFF" w:themeColor="background1"/>
                <w:sz w:val="18"/>
                <w:szCs w:val="18"/>
                <w:lang w:eastAsia="en-GB"/>
              </w:rPr>
            </w:pPr>
            <w:r w:rsidRPr="00EE1C77">
              <w:rPr>
                <w:rFonts w:eastAsia="Times New Roman" w:cs="Arial"/>
                <w:b/>
                <w:bCs/>
                <w:color w:val="FFFFFF" w:themeColor="background1"/>
                <w:sz w:val="18"/>
                <w:szCs w:val="18"/>
                <w:lang w:eastAsia="en-GB"/>
              </w:rPr>
              <w:t>Non-EU Third Country Firms Active Cross-border Engagement</w:t>
            </w:r>
          </w:p>
        </w:tc>
        <w:tc>
          <w:tcPr>
            <w:tcW w:w="6380" w:type="dxa"/>
            <w:gridSpan w:val="2"/>
            <w:tcBorders>
              <w:top w:val="single" w:sz="4" w:space="0" w:color="auto"/>
              <w:left w:val="single" w:sz="4" w:space="0" w:color="auto"/>
              <w:bottom w:val="single" w:sz="4" w:space="0" w:color="auto"/>
              <w:right w:val="single" w:sz="4" w:space="0" w:color="auto"/>
            </w:tcBorders>
            <w:shd w:val="clear" w:color="auto" w:fill="32464D"/>
          </w:tcPr>
          <w:p w:rsidR="00487D14" w:rsidRPr="00EE1C77" w:rsidRDefault="00487D14" w:rsidP="002A0E76">
            <w:pPr>
              <w:spacing w:before="120" w:after="120"/>
              <w:jc w:val="center"/>
              <w:rPr>
                <w:rFonts w:eastAsia="Times New Roman" w:cs="Arial"/>
                <w:b/>
                <w:bCs/>
                <w:color w:val="FFFFFF" w:themeColor="background1"/>
                <w:sz w:val="18"/>
                <w:szCs w:val="18"/>
                <w:lang w:eastAsia="en-GB"/>
              </w:rPr>
            </w:pPr>
            <w:r w:rsidRPr="00EE1C77">
              <w:rPr>
                <w:rFonts w:eastAsia="Times New Roman" w:cs="Arial"/>
                <w:b/>
                <w:bCs/>
                <w:color w:val="FFFFFF" w:themeColor="background1"/>
                <w:sz w:val="18"/>
                <w:szCs w:val="18"/>
                <w:lang w:eastAsia="en-GB"/>
              </w:rPr>
              <w:t>Non- EU Third Country Firms Passive Cross-border Engagement</w:t>
            </w:r>
          </w:p>
        </w:tc>
      </w:tr>
      <w:tr w:rsidR="00487D14" w:rsidRPr="00EE1C77" w:rsidTr="00487D14">
        <w:trPr>
          <w:trHeight w:val="1140"/>
          <w:tblHeader/>
          <w:jc w:val="center"/>
        </w:trPr>
        <w:tc>
          <w:tcPr>
            <w:tcW w:w="2253" w:type="dxa"/>
            <w:vMerge/>
            <w:tcBorders>
              <w:left w:val="single" w:sz="4" w:space="0" w:color="auto"/>
              <w:right w:val="single" w:sz="4" w:space="0" w:color="auto"/>
            </w:tcBorders>
            <w:shd w:val="clear" w:color="auto" w:fill="32464D"/>
          </w:tcPr>
          <w:p w:rsidR="00487D14" w:rsidRPr="00EE1C77" w:rsidRDefault="00487D14">
            <w:pPr>
              <w:rPr>
                <w:rFonts w:cs="Arial"/>
                <w:b/>
                <w:color w:val="FFFFFF" w:themeColor="background1"/>
                <w:sz w:val="18"/>
                <w:szCs w:val="18"/>
              </w:rPr>
            </w:pPr>
          </w:p>
        </w:tc>
        <w:tc>
          <w:tcPr>
            <w:tcW w:w="3513" w:type="dxa"/>
            <w:vMerge w:val="restart"/>
            <w:tcBorders>
              <w:top w:val="single" w:sz="4" w:space="0" w:color="auto"/>
              <w:left w:val="single" w:sz="4" w:space="0" w:color="auto"/>
              <w:right w:val="single" w:sz="4" w:space="0" w:color="auto"/>
            </w:tcBorders>
            <w:shd w:val="clear" w:color="auto" w:fill="32464D"/>
            <w:vAlign w:val="center"/>
          </w:tcPr>
          <w:p w:rsidR="00487D14" w:rsidRPr="00EE1C77" w:rsidRDefault="00487D14" w:rsidP="000C5A71">
            <w:pPr>
              <w:spacing w:before="120" w:after="120"/>
              <w:jc w:val="center"/>
              <w:rPr>
                <w:rFonts w:cs="Arial"/>
                <w:b/>
                <w:color w:val="FFFFFF" w:themeColor="background1"/>
                <w:sz w:val="18"/>
                <w:szCs w:val="18"/>
              </w:rPr>
            </w:pPr>
            <w:r w:rsidRPr="00EE1C77">
              <w:rPr>
                <w:rFonts w:eastAsia="Times New Roman" w:cs="Arial"/>
                <w:b/>
                <w:bCs/>
                <w:color w:val="FFFFFF" w:themeColor="background1"/>
                <w:sz w:val="18"/>
                <w:szCs w:val="18"/>
                <w:lang w:eastAsia="en-GB"/>
              </w:rPr>
              <w:t xml:space="preserve">Will Member State elect to adopt branch regime under Art </w:t>
            </w:r>
            <w:proofErr w:type="gramStart"/>
            <w:r w:rsidRPr="00EE1C77">
              <w:rPr>
                <w:rFonts w:eastAsia="Times New Roman" w:cs="Arial"/>
                <w:b/>
                <w:bCs/>
                <w:color w:val="FFFFFF" w:themeColor="background1"/>
                <w:sz w:val="18"/>
                <w:szCs w:val="18"/>
                <w:lang w:eastAsia="en-GB"/>
              </w:rPr>
              <w:t>39</w:t>
            </w:r>
            <w:proofErr w:type="gramEnd"/>
            <w:r w:rsidRPr="00EE1C77">
              <w:rPr>
                <w:rFonts w:eastAsia="Times New Roman" w:cs="Arial"/>
                <w:b/>
                <w:bCs/>
                <w:color w:val="FFFFFF" w:themeColor="background1"/>
                <w:sz w:val="18"/>
                <w:szCs w:val="18"/>
                <w:lang w:eastAsia="en-GB"/>
              </w:rPr>
              <w:t xml:space="preserve"> </w:t>
            </w:r>
          </w:p>
          <w:p w:rsidR="00487D14" w:rsidRPr="00EE1C77" w:rsidRDefault="00487D14" w:rsidP="00311EE6">
            <w:pPr>
              <w:spacing w:before="40" w:after="50"/>
              <w:jc w:val="center"/>
              <w:rPr>
                <w:rFonts w:cs="Arial"/>
                <w:b/>
                <w:color w:val="FFFFFF" w:themeColor="background1"/>
                <w:sz w:val="18"/>
                <w:szCs w:val="18"/>
              </w:rPr>
            </w:pPr>
            <w:r w:rsidRPr="00EE1C77">
              <w:rPr>
                <w:rFonts w:cs="Arial"/>
                <w:b/>
                <w:color w:val="FFFFFF" w:themeColor="background1"/>
                <w:sz w:val="18"/>
                <w:szCs w:val="18"/>
              </w:rPr>
              <w:t>TBC- To be confirmed by national authorities)</w:t>
            </w:r>
          </w:p>
          <w:p w:rsidR="00487D14" w:rsidRPr="00EE1C77" w:rsidRDefault="00487D14" w:rsidP="0095709F">
            <w:pPr>
              <w:spacing w:before="120" w:after="120"/>
              <w:jc w:val="center"/>
              <w:rPr>
                <w:rFonts w:eastAsia="Times New Roman" w:cs="Arial"/>
                <w:b/>
                <w:bCs/>
                <w:color w:val="FFFFFF" w:themeColor="background1"/>
                <w:sz w:val="18"/>
                <w:szCs w:val="18"/>
                <w:lang w:eastAsia="en-GB"/>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32464D"/>
          </w:tcPr>
          <w:p w:rsidR="00487D14" w:rsidRPr="00EE1C77" w:rsidRDefault="00487D14" w:rsidP="002B23DE">
            <w:pPr>
              <w:spacing w:before="120" w:after="120"/>
              <w:jc w:val="center"/>
              <w:rPr>
                <w:rFonts w:eastAsia="Times New Roman" w:cs="Arial"/>
                <w:b/>
                <w:bCs/>
                <w:color w:val="FFFFFF" w:themeColor="background1"/>
                <w:sz w:val="18"/>
                <w:szCs w:val="18"/>
                <w:lang w:eastAsia="en-GB"/>
              </w:rPr>
            </w:pPr>
            <w:r w:rsidRPr="00EE1C77">
              <w:rPr>
                <w:rFonts w:eastAsia="Times New Roman" w:cs="Arial"/>
                <w:b/>
                <w:bCs/>
                <w:color w:val="FFFFFF" w:themeColor="background1"/>
                <w:sz w:val="18"/>
                <w:szCs w:val="18"/>
                <w:lang w:eastAsia="en-GB"/>
              </w:rPr>
              <w:t>Current licensing regime for non-EU third country firms</w:t>
            </w:r>
          </w:p>
          <w:p w:rsidR="00487D14" w:rsidRPr="00EE1C77" w:rsidRDefault="00487D14" w:rsidP="00E14A65">
            <w:pPr>
              <w:spacing w:before="120" w:after="120"/>
              <w:jc w:val="center"/>
              <w:rPr>
                <w:rFonts w:eastAsia="Times New Roman" w:cs="Arial"/>
                <w:b/>
                <w:bCs/>
                <w:color w:val="FFFFFF" w:themeColor="background1"/>
                <w:sz w:val="18"/>
                <w:szCs w:val="18"/>
                <w:lang w:eastAsia="en-GB"/>
              </w:rPr>
            </w:pPr>
          </w:p>
        </w:tc>
        <w:tc>
          <w:tcPr>
            <w:tcW w:w="3773" w:type="dxa"/>
            <w:vMerge w:val="restart"/>
            <w:tcBorders>
              <w:top w:val="single" w:sz="4" w:space="0" w:color="auto"/>
              <w:left w:val="single" w:sz="4" w:space="0" w:color="auto"/>
              <w:right w:val="single" w:sz="4" w:space="0" w:color="auto"/>
            </w:tcBorders>
            <w:shd w:val="clear" w:color="auto" w:fill="32464D"/>
          </w:tcPr>
          <w:p w:rsidR="00487D14" w:rsidRPr="00EE1C77" w:rsidRDefault="00487D14" w:rsidP="00E30443">
            <w:pPr>
              <w:spacing w:before="120" w:after="120"/>
              <w:rPr>
                <w:rFonts w:eastAsia="Times New Roman" w:cs="Arial"/>
                <w:b/>
                <w:bCs/>
                <w:color w:val="FFFFFF" w:themeColor="background1"/>
                <w:sz w:val="18"/>
                <w:szCs w:val="18"/>
                <w:lang w:eastAsia="en-GB"/>
              </w:rPr>
            </w:pPr>
            <w:r w:rsidRPr="00EE1C77">
              <w:rPr>
                <w:rFonts w:eastAsia="Times New Roman" w:cs="Arial"/>
                <w:b/>
                <w:bCs/>
                <w:color w:val="FFFFFF" w:themeColor="background1"/>
                <w:sz w:val="18"/>
                <w:szCs w:val="18"/>
                <w:lang w:eastAsia="en-GB"/>
              </w:rPr>
              <w:t>Is reverse enquiry recognised under local market practice or officially?</w:t>
            </w:r>
          </w:p>
          <w:p w:rsidR="00487D14" w:rsidRPr="00EE1C77" w:rsidRDefault="00487D14" w:rsidP="00DC35AD">
            <w:pPr>
              <w:spacing w:before="120" w:after="120"/>
              <w:jc w:val="center"/>
              <w:rPr>
                <w:rFonts w:eastAsia="Times New Roman" w:cs="Arial"/>
                <w:b/>
                <w:bCs/>
                <w:color w:val="FFFFFF" w:themeColor="background1"/>
                <w:sz w:val="18"/>
                <w:szCs w:val="18"/>
                <w:lang w:eastAsia="en-GB"/>
              </w:rPr>
            </w:pPr>
          </w:p>
        </w:tc>
        <w:tc>
          <w:tcPr>
            <w:tcW w:w="2607" w:type="dxa"/>
            <w:tcBorders>
              <w:top w:val="single" w:sz="4" w:space="0" w:color="auto"/>
              <w:left w:val="single" w:sz="4" w:space="0" w:color="auto"/>
              <w:right w:val="single" w:sz="4" w:space="0" w:color="auto"/>
            </w:tcBorders>
            <w:shd w:val="clear" w:color="auto" w:fill="32464D"/>
          </w:tcPr>
          <w:p w:rsidR="00487D14" w:rsidRPr="00EE1C77" w:rsidRDefault="00487D14" w:rsidP="002A0E76">
            <w:pPr>
              <w:spacing w:before="120" w:after="120"/>
              <w:jc w:val="center"/>
              <w:rPr>
                <w:rFonts w:eastAsia="Times New Roman" w:cs="Arial"/>
                <w:bCs/>
                <w:color w:val="FFFFFF" w:themeColor="background1"/>
                <w:sz w:val="18"/>
                <w:szCs w:val="18"/>
                <w:lang w:eastAsia="en-GB"/>
              </w:rPr>
            </w:pPr>
            <w:r w:rsidRPr="00EE1C77">
              <w:rPr>
                <w:rFonts w:eastAsia="Times New Roman" w:cs="Arial"/>
                <w:b/>
                <w:bCs/>
                <w:color w:val="FFFFFF" w:themeColor="background1"/>
                <w:sz w:val="18"/>
                <w:szCs w:val="18"/>
                <w:lang w:eastAsia="en-GB"/>
              </w:rPr>
              <w:t xml:space="preserve">Status of interpretation and implementation of </w:t>
            </w:r>
            <w:r w:rsidRPr="00EE1C77">
              <w:rPr>
                <w:rFonts w:cs="Arial"/>
                <w:b/>
                <w:color w:val="FFFFFF" w:themeColor="background1"/>
                <w:sz w:val="18"/>
                <w:szCs w:val="18"/>
                <w:lang w:eastAsia="en-GB"/>
              </w:rPr>
              <w:t xml:space="preserve">‘reverse initiative’ rules </w:t>
            </w:r>
            <w:proofErr w:type="gramStart"/>
            <w:r w:rsidRPr="00EE1C77">
              <w:rPr>
                <w:rFonts w:cs="Arial"/>
                <w:b/>
                <w:color w:val="FFFFFF" w:themeColor="background1"/>
                <w:sz w:val="18"/>
                <w:szCs w:val="18"/>
                <w:lang w:eastAsia="en-GB"/>
              </w:rPr>
              <w:t>under  MiFID</w:t>
            </w:r>
            <w:proofErr w:type="gramEnd"/>
            <w:r w:rsidRPr="00EE1C77">
              <w:rPr>
                <w:rFonts w:cs="Arial"/>
                <w:b/>
                <w:color w:val="FFFFFF" w:themeColor="background1"/>
                <w:sz w:val="18"/>
                <w:szCs w:val="18"/>
                <w:lang w:eastAsia="en-GB"/>
              </w:rPr>
              <w:t xml:space="preserve">2 Art 42 and </w:t>
            </w:r>
            <w:proofErr w:type="spellStart"/>
            <w:r w:rsidRPr="00EE1C77">
              <w:rPr>
                <w:rFonts w:cs="Arial"/>
                <w:b/>
                <w:color w:val="FFFFFF" w:themeColor="background1"/>
                <w:sz w:val="18"/>
                <w:szCs w:val="18"/>
                <w:lang w:eastAsia="en-GB"/>
              </w:rPr>
              <w:t>MiFIR</w:t>
            </w:r>
            <w:proofErr w:type="spellEnd"/>
            <w:r w:rsidRPr="00EE1C77">
              <w:rPr>
                <w:rFonts w:cs="Arial"/>
                <w:b/>
                <w:color w:val="FFFFFF" w:themeColor="background1"/>
                <w:sz w:val="18"/>
                <w:szCs w:val="18"/>
                <w:lang w:eastAsia="en-GB"/>
              </w:rPr>
              <w:t xml:space="preserve"> Art 46(5)</w:t>
            </w:r>
            <w:r w:rsidRPr="00EE1C77">
              <w:rPr>
                <w:rStyle w:val="FootnoteReference"/>
                <w:rFonts w:cs="Arial"/>
                <w:b/>
                <w:color w:val="FFFFFF" w:themeColor="background1"/>
                <w:sz w:val="18"/>
                <w:szCs w:val="18"/>
                <w:lang w:eastAsia="en-GB"/>
              </w:rPr>
              <w:footnoteReference w:id="1"/>
            </w:r>
          </w:p>
        </w:tc>
      </w:tr>
      <w:tr w:rsidR="00487D14" w:rsidRPr="00EE1C77" w:rsidTr="00487D14">
        <w:trPr>
          <w:trHeight w:val="987"/>
          <w:tblHeader/>
          <w:jc w:val="center"/>
        </w:trPr>
        <w:tc>
          <w:tcPr>
            <w:tcW w:w="2253" w:type="dxa"/>
            <w:vMerge/>
            <w:tcBorders>
              <w:left w:val="single" w:sz="4" w:space="0" w:color="auto"/>
              <w:right w:val="single" w:sz="4" w:space="0" w:color="auto"/>
            </w:tcBorders>
            <w:shd w:val="clear" w:color="auto" w:fill="32464D"/>
          </w:tcPr>
          <w:p w:rsidR="00487D14" w:rsidRPr="00EE1C77" w:rsidRDefault="00487D14">
            <w:pPr>
              <w:rPr>
                <w:rFonts w:cs="Arial"/>
                <w:b/>
                <w:color w:val="FFFFFF" w:themeColor="background1"/>
                <w:sz w:val="18"/>
                <w:szCs w:val="18"/>
              </w:rPr>
            </w:pPr>
          </w:p>
        </w:tc>
        <w:tc>
          <w:tcPr>
            <w:tcW w:w="3513" w:type="dxa"/>
            <w:vMerge/>
            <w:tcBorders>
              <w:left w:val="single" w:sz="4" w:space="0" w:color="auto"/>
              <w:right w:val="single" w:sz="4" w:space="0" w:color="auto"/>
            </w:tcBorders>
            <w:shd w:val="clear" w:color="auto" w:fill="32464D"/>
            <w:vAlign w:val="center"/>
          </w:tcPr>
          <w:p w:rsidR="00487D14" w:rsidRPr="00EE1C77" w:rsidRDefault="00487D14" w:rsidP="0095709F">
            <w:pPr>
              <w:spacing w:before="120" w:after="120"/>
              <w:jc w:val="center"/>
              <w:rPr>
                <w:rFonts w:eastAsia="Times New Roman" w:cs="Arial"/>
                <w:b/>
                <w:bCs/>
                <w:color w:val="FFFFFF" w:themeColor="background1"/>
                <w:sz w:val="18"/>
                <w:szCs w:val="18"/>
                <w:lang w:eastAsia="en-GB"/>
              </w:rPr>
            </w:pPr>
          </w:p>
        </w:tc>
        <w:tc>
          <w:tcPr>
            <w:tcW w:w="2435" w:type="dxa"/>
            <w:tcBorders>
              <w:top w:val="single" w:sz="4" w:space="0" w:color="auto"/>
              <w:left w:val="single" w:sz="4" w:space="0" w:color="auto"/>
              <w:right w:val="single" w:sz="4" w:space="0" w:color="auto"/>
            </w:tcBorders>
            <w:shd w:val="clear" w:color="auto" w:fill="32464D"/>
          </w:tcPr>
          <w:p w:rsidR="00487D14" w:rsidRPr="00EE1C77" w:rsidRDefault="00487D14" w:rsidP="002B23DE">
            <w:pPr>
              <w:spacing w:before="120" w:after="120"/>
              <w:jc w:val="center"/>
              <w:rPr>
                <w:rFonts w:eastAsia="Times New Roman" w:cs="Arial"/>
                <w:b/>
                <w:bCs/>
                <w:color w:val="FFFFFF" w:themeColor="background1"/>
                <w:sz w:val="18"/>
                <w:szCs w:val="18"/>
                <w:lang w:eastAsia="en-GB"/>
              </w:rPr>
            </w:pPr>
            <w:r w:rsidRPr="00EE1C77">
              <w:rPr>
                <w:rFonts w:eastAsia="Times New Roman" w:cs="Arial"/>
                <w:b/>
                <w:bCs/>
                <w:color w:val="FFFFFF" w:themeColor="background1"/>
                <w:sz w:val="18"/>
                <w:szCs w:val="18"/>
                <w:lang w:eastAsia="en-GB"/>
              </w:rPr>
              <w:t>Can a licence be obtained without a physical presence?</w:t>
            </w:r>
          </w:p>
        </w:tc>
        <w:tc>
          <w:tcPr>
            <w:tcW w:w="2988" w:type="dxa"/>
            <w:tcBorders>
              <w:top w:val="single" w:sz="4" w:space="0" w:color="auto"/>
              <w:left w:val="single" w:sz="4" w:space="0" w:color="auto"/>
              <w:right w:val="single" w:sz="4" w:space="0" w:color="auto"/>
            </w:tcBorders>
            <w:shd w:val="clear" w:color="auto" w:fill="32464D"/>
          </w:tcPr>
          <w:p w:rsidR="00487D14" w:rsidRPr="00EE1C77" w:rsidRDefault="00487D14" w:rsidP="002B23DE">
            <w:pPr>
              <w:spacing w:before="120" w:after="120"/>
              <w:jc w:val="center"/>
              <w:rPr>
                <w:rFonts w:eastAsia="Times New Roman" w:cs="Arial"/>
                <w:b/>
                <w:bCs/>
                <w:color w:val="FFFFFF" w:themeColor="background1"/>
                <w:sz w:val="18"/>
                <w:szCs w:val="18"/>
                <w:lang w:eastAsia="en-GB"/>
              </w:rPr>
            </w:pPr>
            <w:r w:rsidRPr="00EE1C77">
              <w:rPr>
                <w:rFonts w:eastAsia="Times New Roman" w:cs="Arial"/>
                <w:b/>
                <w:bCs/>
                <w:color w:val="FFFFFF" w:themeColor="background1"/>
                <w:sz w:val="18"/>
                <w:szCs w:val="18"/>
                <w:lang w:eastAsia="en-GB"/>
              </w:rPr>
              <w:t>What type of presence required?</w:t>
            </w:r>
          </w:p>
        </w:tc>
        <w:tc>
          <w:tcPr>
            <w:tcW w:w="2410" w:type="dxa"/>
            <w:tcBorders>
              <w:top w:val="single" w:sz="4" w:space="0" w:color="auto"/>
              <w:left w:val="single" w:sz="4" w:space="0" w:color="auto"/>
              <w:right w:val="single" w:sz="4" w:space="0" w:color="auto"/>
            </w:tcBorders>
            <w:shd w:val="clear" w:color="auto" w:fill="32464D"/>
          </w:tcPr>
          <w:p w:rsidR="00487D14" w:rsidRPr="00EE1C77" w:rsidRDefault="00487D14" w:rsidP="002B23DE">
            <w:pPr>
              <w:spacing w:before="120" w:after="120"/>
              <w:jc w:val="center"/>
              <w:rPr>
                <w:rFonts w:eastAsia="Times New Roman" w:cs="Arial"/>
                <w:b/>
                <w:bCs/>
                <w:color w:val="FFFFFF" w:themeColor="background1"/>
                <w:sz w:val="18"/>
                <w:szCs w:val="18"/>
                <w:lang w:eastAsia="en-GB"/>
              </w:rPr>
            </w:pPr>
            <w:r w:rsidRPr="00EE1C77">
              <w:rPr>
                <w:rFonts w:eastAsia="Times New Roman" w:cs="Arial"/>
                <w:b/>
                <w:bCs/>
                <w:color w:val="FFFFFF" w:themeColor="background1"/>
                <w:sz w:val="18"/>
                <w:szCs w:val="18"/>
                <w:lang w:eastAsia="en-GB"/>
              </w:rPr>
              <w:t>Is a light touch regime available?</w:t>
            </w:r>
          </w:p>
        </w:tc>
        <w:tc>
          <w:tcPr>
            <w:tcW w:w="2125" w:type="dxa"/>
            <w:tcBorders>
              <w:top w:val="single" w:sz="4" w:space="0" w:color="auto"/>
              <w:left w:val="single" w:sz="4" w:space="0" w:color="auto"/>
              <w:right w:val="single" w:sz="4" w:space="0" w:color="auto"/>
            </w:tcBorders>
            <w:shd w:val="clear" w:color="auto" w:fill="32464D"/>
          </w:tcPr>
          <w:p w:rsidR="00487D14" w:rsidRPr="00EE1C77" w:rsidRDefault="00487D14" w:rsidP="002B23DE">
            <w:pPr>
              <w:spacing w:before="120" w:after="120"/>
              <w:jc w:val="center"/>
              <w:rPr>
                <w:rFonts w:eastAsia="Times New Roman" w:cs="Arial"/>
                <w:b/>
                <w:bCs/>
                <w:color w:val="FFFFFF" w:themeColor="background1"/>
                <w:sz w:val="18"/>
                <w:szCs w:val="18"/>
                <w:lang w:eastAsia="en-GB"/>
              </w:rPr>
            </w:pPr>
            <w:r w:rsidRPr="00EE1C77">
              <w:rPr>
                <w:rFonts w:eastAsia="Times New Roman" w:cs="Arial"/>
                <w:b/>
                <w:bCs/>
                <w:color w:val="FFFFFF" w:themeColor="background1"/>
                <w:sz w:val="18"/>
                <w:szCs w:val="18"/>
                <w:lang w:eastAsia="en-GB"/>
              </w:rPr>
              <w:t>Are there any exemptions available?</w:t>
            </w:r>
          </w:p>
        </w:tc>
        <w:tc>
          <w:tcPr>
            <w:tcW w:w="3773" w:type="dxa"/>
            <w:vMerge/>
            <w:tcBorders>
              <w:left w:val="single" w:sz="4" w:space="0" w:color="auto"/>
              <w:right w:val="single" w:sz="4" w:space="0" w:color="auto"/>
            </w:tcBorders>
            <w:shd w:val="clear" w:color="auto" w:fill="32464D"/>
          </w:tcPr>
          <w:p w:rsidR="00487D14" w:rsidRPr="00EE1C77" w:rsidRDefault="00487D14" w:rsidP="00DC35AD">
            <w:pPr>
              <w:spacing w:before="120" w:after="120"/>
              <w:jc w:val="center"/>
              <w:rPr>
                <w:rFonts w:eastAsia="Times New Roman" w:cs="Arial"/>
                <w:b/>
                <w:bCs/>
                <w:color w:val="FFFFFF" w:themeColor="background1"/>
                <w:sz w:val="18"/>
                <w:szCs w:val="18"/>
                <w:lang w:eastAsia="en-GB"/>
              </w:rPr>
            </w:pPr>
          </w:p>
        </w:tc>
        <w:tc>
          <w:tcPr>
            <w:tcW w:w="2607" w:type="dxa"/>
            <w:tcBorders>
              <w:left w:val="single" w:sz="4" w:space="0" w:color="auto"/>
              <w:right w:val="single" w:sz="4" w:space="0" w:color="auto"/>
            </w:tcBorders>
            <w:shd w:val="clear" w:color="auto" w:fill="32464D"/>
          </w:tcPr>
          <w:p w:rsidR="00487D14" w:rsidRPr="00EE1C77" w:rsidRDefault="00487D14" w:rsidP="001951FC">
            <w:pPr>
              <w:spacing w:before="40" w:after="50"/>
              <w:jc w:val="center"/>
              <w:rPr>
                <w:rFonts w:cs="Arial"/>
                <w:b/>
                <w:color w:val="FFFFFF" w:themeColor="background1"/>
                <w:sz w:val="18"/>
                <w:szCs w:val="18"/>
              </w:rPr>
            </w:pPr>
            <w:r w:rsidRPr="00EE1C77">
              <w:rPr>
                <w:rFonts w:cs="Arial"/>
                <w:b/>
                <w:color w:val="FFFFFF" w:themeColor="background1"/>
                <w:sz w:val="18"/>
                <w:szCs w:val="18"/>
              </w:rPr>
              <w:t>TBC- To be confirmed by national authorities.</w:t>
            </w:r>
          </w:p>
          <w:p w:rsidR="00487D14" w:rsidRPr="00EE1C77" w:rsidRDefault="00487D14" w:rsidP="00DC35AD">
            <w:pPr>
              <w:spacing w:before="120" w:after="120"/>
              <w:jc w:val="center"/>
              <w:rPr>
                <w:rFonts w:eastAsia="Times New Roman" w:cs="Arial"/>
                <w:b/>
                <w:bCs/>
                <w:color w:val="FFFFFF" w:themeColor="background1"/>
                <w:sz w:val="18"/>
                <w:szCs w:val="18"/>
                <w:lang w:eastAsia="en-GB"/>
              </w:rPr>
            </w:pPr>
          </w:p>
        </w:tc>
      </w:tr>
      <w:tr w:rsidR="00487D14" w:rsidRPr="00EE1C77"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United Kingdom</w:t>
            </w:r>
          </w:p>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p>
        </w:tc>
        <w:tc>
          <w:tcPr>
            <w:tcW w:w="3513"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spacing w:before="120" w:after="120"/>
              <w:jc w:val="center"/>
              <w:rPr>
                <w:rFonts w:eastAsia="Times New Roman" w:cs="Arial"/>
                <w:b/>
                <w:sz w:val="18"/>
                <w:szCs w:val="18"/>
              </w:rPr>
            </w:pPr>
            <w:r w:rsidRPr="00EE1C77">
              <w:rPr>
                <w:rFonts w:eastAsia="Times New Roman" w:cs="Arial"/>
                <w:b/>
                <w:bCs/>
                <w:sz w:val="18"/>
                <w:szCs w:val="18"/>
                <w:lang w:eastAsia="en-GB"/>
              </w:rPr>
              <w:t>×</w:t>
            </w:r>
          </w:p>
        </w:tc>
        <w:tc>
          <w:tcPr>
            <w:tcW w:w="243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spacing w:before="120" w:after="120"/>
              <w:jc w:val="center"/>
              <w:rPr>
                <w:rFonts w:cs="Arial"/>
                <w:sz w:val="18"/>
                <w:szCs w:val="18"/>
                <w:lang w:val="en-US" w:eastAsia="en-GB"/>
              </w:rPr>
            </w:pPr>
            <w:r w:rsidRPr="00EE1C77">
              <w:rPr>
                <w:rFonts w:eastAsia="Times New Roman" w:cs="Arial"/>
                <w:b/>
                <w:bCs/>
                <w:sz w:val="18"/>
                <w:szCs w:val="18"/>
                <w:lang w:eastAsia="en-GB"/>
              </w:rPr>
              <w:t>×</w:t>
            </w:r>
          </w:p>
        </w:tc>
        <w:tc>
          <w:tcPr>
            <w:tcW w:w="2988" w:type="dxa"/>
            <w:tcBorders>
              <w:top w:val="single" w:sz="4" w:space="0" w:color="auto"/>
              <w:left w:val="single" w:sz="4" w:space="0" w:color="auto"/>
              <w:bottom w:val="single" w:sz="4" w:space="0" w:color="auto"/>
              <w:right w:val="single" w:sz="4" w:space="0" w:color="auto"/>
            </w:tcBorders>
          </w:tcPr>
          <w:p w:rsidR="00494C5E" w:rsidRPr="00EE1C77" w:rsidRDefault="00ED0D51" w:rsidP="000C5A71">
            <w:pPr>
              <w:spacing w:before="120" w:after="120"/>
              <w:jc w:val="center"/>
              <w:rPr>
                <w:rFonts w:cs="Arial"/>
                <w:b/>
                <w:sz w:val="18"/>
                <w:szCs w:val="18"/>
                <w:lang w:val="en-US" w:eastAsia="en-GB"/>
              </w:rPr>
            </w:pPr>
            <w:r w:rsidRPr="00EE1C77">
              <w:rPr>
                <w:rFonts w:cs="Arial"/>
                <w:b/>
                <w:sz w:val="18"/>
                <w:szCs w:val="18"/>
                <w:lang w:val="en-US" w:eastAsia="en-GB"/>
              </w:rPr>
              <w:t xml:space="preserve">Branch/ </w:t>
            </w:r>
            <w:r w:rsidR="00494C5E" w:rsidRPr="00EE1C77">
              <w:rPr>
                <w:rFonts w:cs="Arial"/>
                <w:b/>
                <w:sz w:val="18"/>
                <w:szCs w:val="18"/>
                <w:lang w:val="en-US" w:eastAsia="en-GB"/>
              </w:rPr>
              <w:t>Subsidiary</w:t>
            </w:r>
          </w:p>
        </w:tc>
        <w:tc>
          <w:tcPr>
            <w:tcW w:w="2410"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spacing w:before="120" w:after="120"/>
              <w:jc w:val="center"/>
              <w:rPr>
                <w:rFonts w:cs="Arial"/>
                <w:b/>
                <w:sz w:val="18"/>
                <w:szCs w:val="18"/>
                <w:lang w:val="en-US" w:eastAsia="en-GB"/>
              </w:rPr>
            </w:pPr>
            <w:r w:rsidRPr="00EE1C77">
              <w:rPr>
                <w:rFonts w:eastAsia="Times New Roman" w:cs="Arial"/>
                <w:b/>
                <w:bCs/>
                <w:sz w:val="18"/>
                <w:szCs w:val="18"/>
                <w:lang w:eastAsia="en-GB"/>
              </w:rPr>
              <w:t>×</w:t>
            </w:r>
          </w:p>
        </w:tc>
        <w:tc>
          <w:tcPr>
            <w:tcW w:w="212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spacing w:before="120" w:after="120"/>
              <w:jc w:val="center"/>
              <w:rPr>
                <w:rFonts w:cs="Arial"/>
                <w:b/>
                <w:sz w:val="18"/>
                <w:szCs w:val="18"/>
                <w:lang w:val="en-US" w:eastAsia="en-GB"/>
              </w:rPr>
            </w:pPr>
            <w:r w:rsidRPr="00EE1C77">
              <w:rPr>
                <w:rFonts w:cs="Arial"/>
                <w:b/>
                <w:sz w:val="18"/>
                <w:szCs w:val="18"/>
              </w:rPr>
              <w:sym w:font="Wingdings" w:char="F0FC"/>
            </w:r>
          </w:p>
        </w:tc>
        <w:tc>
          <w:tcPr>
            <w:tcW w:w="3773" w:type="dxa"/>
            <w:tcBorders>
              <w:top w:val="single" w:sz="4" w:space="0" w:color="auto"/>
              <w:left w:val="single" w:sz="4" w:space="0" w:color="auto"/>
              <w:bottom w:val="single" w:sz="4" w:space="0" w:color="auto"/>
              <w:right w:val="single" w:sz="4" w:space="0" w:color="auto"/>
            </w:tcBorders>
          </w:tcPr>
          <w:p w:rsidR="00ED0D51" w:rsidRPr="00EE1C77" w:rsidRDefault="00ED0D51" w:rsidP="00ED0D51">
            <w:pPr>
              <w:pStyle w:val="BulletPoint1"/>
              <w:numPr>
                <w:ilvl w:val="0"/>
                <w:numId w:val="0"/>
              </w:numPr>
              <w:tabs>
                <w:tab w:val="clear" w:pos="684"/>
              </w:tabs>
              <w:ind w:left="458"/>
              <w:jc w:val="center"/>
              <w:rPr>
                <w:rFonts w:cs="Arial"/>
                <w:b/>
                <w:bCs/>
                <w:color w:val="auto"/>
                <w:szCs w:val="18"/>
              </w:rPr>
            </w:pPr>
            <w:r w:rsidRPr="00EE1C77">
              <w:rPr>
                <w:rFonts w:cs="Arial"/>
                <w:b/>
                <w:color w:val="auto"/>
                <w:szCs w:val="18"/>
              </w:rPr>
              <w:sym w:font="Wingdings" w:char="F0FC"/>
            </w:r>
            <w:r w:rsidRPr="00EE1C77">
              <w:rPr>
                <w:rFonts w:cs="Arial"/>
                <w:b/>
                <w:bCs/>
                <w:color w:val="auto"/>
                <w:szCs w:val="18"/>
              </w:rPr>
              <w:t xml:space="preserve"> </w:t>
            </w:r>
          </w:p>
          <w:p w:rsidR="00494C5E" w:rsidRPr="00EE1C77" w:rsidRDefault="00494C5E" w:rsidP="00ED0D51">
            <w:pPr>
              <w:pStyle w:val="BulletPoint1"/>
              <w:numPr>
                <w:ilvl w:val="0"/>
                <w:numId w:val="0"/>
              </w:numPr>
              <w:tabs>
                <w:tab w:val="clear" w:pos="684"/>
              </w:tabs>
              <w:ind w:left="458"/>
              <w:jc w:val="center"/>
              <w:rPr>
                <w:rFonts w:cs="Arial"/>
                <w:b/>
                <w:szCs w:val="18"/>
              </w:rPr>
            </w:pPr>
            <w:r w:rsidRPr="00EE1C77">
              <w:rPr>
                <w:rFonts w:cs="Arial"/>
                <w:b/>
                <w:bCs/>
                <w:color w:val="auto"/>
                <w:szCs w:val="18"/>
              </w:rPr>
              <w:t>(could fall within exemption)</w:t>
            </w:r>
          </w:p>
        </w:tc>
        <w:tc>
          <w:tcPr>
            <w:tcW w:w="2607" w:type="dxa"/>
            <w:tcBorders>
              <w:top w:val="single" w:sz="4" w:space="0" w:color="auto"/>
              <w:left w:val="single" w:sz="4" w:space="0" w:color="auto"/>
              <w:bottom w:val="single" w:sz="4" w:space="0" w:color="auto"/>
              <w:right w:val="single" w:sz="4" w:space="0" w:color="auto"/>
            </w:tcBorders>
          </w:tcPr>
          <w:p w:rsidR="00494C5E" w:rsidRPr="00EE1C77" w:rsidRDefault="00ED0D51" w:rsidP="000C5A71">
            <w:pPr>
              <w:pStyle w:val="BulletPoint1"/>
              <w:numPr>
                <w:ilvl w:val="0"/>
                <w:numId w:val="0"/>
              </w:numPr>
              <w:tabs>
                <w:tab w:val="clear" w:pos="684"/>
              </w:tabs>
              <w:ind w:left="458"/>
              <w:jc w:val="center"/>
              <w:rPr>
                <w:rFonts w:cs="Arial"/>
                <w:b/>
                <w:szCs w:val="18"/>
              </w:rPr>
            </w:pPr>
            <w:r w:rsidRPr="00EE1C77">
              <w:rPr>
                <w:rFonts w:cs="Arial"/>
                <w:b/>
                <w:szCs w:val="18"/>
              </w:rPr>
              <w:t>Seen as narrower than current national exemptions.</w:t>
            </w:r>
          </w:p>
        </w:tc>
      </w:tr>
      <w:tr w:rsidR="00487D14" w:rsidRPr="00EE1C77"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Germany</w:t>
            </w:r>
          </w:p>
        </w:tc>
        <w:tc>
          <w:tcPr>
            <w:tcW w:w="3513"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spacing w:before="240" w:after="260"/>
              <w:jc w:val="center"/>
              <w:rPr>
                <w:rFonts w:eastAsia="Times New Roman" w:cs="Arial"/>
                <w:b/>
                <w:sz w:val="18"/>
                <w:szCs w:val="18"/>
              </w:rPr>
            </w:pPr>
            <w:r w:rsidRPr="00EE1C77">
              <w:rPr>
                <w:rFonts w:eastAsia="Times New Roman" w:cs="Arial"/>
                <w:b/>
                <w:sz w:val="18"/>
                <w:szCs w:val="18"/>
              </w:rPr>
              <w:t>TBC</w:t>
            </w:r>
          </w:p>
        </w:tc>
        <w:tc>
          <w:tcPr>
            <w:tcW w:w="243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sz w:val="18"/>
                <w:szCs w:val="18"/>
                <w:lang w:val="en-US" w:eastAsia="en-GB"/>
              </w:rPr>
            </w:pPr>
            <w:r w:rsidRPr="00EE1C77">
              <w:rPr>
                <w:rFonts w:eastAsia="Times New Roman" w:cs="Arial"/>
                <w:b/>
                <w:bCs/>
                <w:sz w:val="18"/>
                <w:szCs w:val="18"/>
                <w:lang w:eastAsia="en-GB"/>
              </w:rPr>
              <w:t>×</w:t>
            </w:r>
          </w:p>
        </w:tc>
        <w:tc>
          <w:tcPr>
            <w:tcW w:w="2988" w:type="dxa"/>
            <w:tcBorders>
              <w:top w:val="single" w:sz="4" w:space="0" w:color="auto"/>
              <w:left w:val="single" w:sz="4" w:space="0" w:color="auto"/>
              <w:bottom w:val="single" w:sz="4" w:space="0" w:color="auto"/>
              <w:right w:val="single" w:sz="4" w:space="0" w:color="auto"/>
            </w:tcBorders>
          </w:tcPr>
          <w:p w:rsidR="00494C5E" w:rsidRPr="00EE1C77" w:rsidRDefault="00494C5E" w:rsidP="0048156D">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Branch/</w:t>
            </w:r>
          </w:p>
          <w:p w:rsidR="00494C5E" w:rsidRPr="00EE1C77" w:rsidRDefault="00494C5E" w:rsidP="0048156D">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Subsidiary</w:t>
            </w:r>
          </w:p>
        </w:tc>
        <w:tc>
          <w:tcPr>
            <w:tcW w:w="2410"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212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3773"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pStyle w:val="BulletPoint1"/>
              <w:numPr>
                <w:ilvl w:val="0"/>
                <w:numId w:val="0"/>
              </w:numPr>
              <w:tabs>
                <w:tab w:val="clear" w:pos="684"/>
              </w:tabs>
              <w:ind w:left="458"/>
              <w:jc w:val="center"/>
              <w:rPr>
                <w:rFonts w:cs="Arial"/>
                <w:b/>
                <w:szCs w:val="18"/>
              </w:rPr>
            </w:pPr>
            <w:r w:rsidRPr="00EE1C77">
              <w:rPr>
                <w:rFonts w:cs="Arial"/>
                <w:b/>
                <w:color w:val="auto"/>
                <w:szCs w:val="18"/>
              </w:rPr>
              <w:sym w:font="Wingdings" w:char="F0FC"/>
            </w:r>
          </w:p>
        </w:tc>
        <w:tc>
          <w:tcPr>
            <w:tcW w:w="2607"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pStyle w:val="BulletPoint1"/>
              <w:numPr>
                <w:ilvl w:val="0"/>
                <w:numId w:val="0"/>
              </w:numPr>
              <w:tabs>
                <w:tab w:val="clear" w:pos="684"/>
              </w:tabs>
              <w:ind w:left="458"/>
              <w:jc w:val="center"/>
              <w:rPr>
                <w:rFonts w:cs="Arial"/>
                <w:b/>
                <w:szCs w:val="18"/>
              </w:rPr>
            </w:pPr>
            <w:r w:rsidRPr="00EE1C77">
              <w:rPr>
                <w:rFonts w:cs="Arial"/>
                <w:b/>
                <w:szCs w:val="18"/>
              </w:rPr>
              <w:t>TBC</w:t>
            </w:r>
          </w:p>
        </w:tc>
      </w:tr>
      <w:tr w:rsidR="00487D14" w:rsidRPr="00EE1C77"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Italy</w:t>
            </w:r>
          </w:p>
        </w:tc>
        <w:tc>
          <w:tcPr>
            <w:tcW w:w="3513" w:type="dxa"/>
            <w:tcBorders>
              <w:top w:val="single" w:sz="4" w:space="0" w:color="auto"/>
              <w:left w:val="single" w:sz="4" w:space="0" w:color="auto"/>
              <w:bottom w:val="single" w:sz="4" w:space="0" w:color="auto"/>
              <w:right w:val="single" w:sz="4" w:space="0" w:color="auto"/>
            </w:tcBorders>
          </w:tcPr>
          <w:p w:rsidR="009A194F" w:rsidRPr="00EE1C77" w:rsidRDefault="009A194F" w:rsidP="000C5A71">
            <w:pPr>
              <w:spacing w:before="240" w:after="260"/>
              <w:jc w:val="center"/>
              <w:rPr>
                <w:rFonts w:cs="Arial"/>
                <w:b/>
                <w:sz w:val="18"/>
                <w:szCs w:val="18"/>
              </w:rPr>
            </w:pPr>
            <w:r w:rsidRPr="00EE1C77">
              <w:rPr>
                <w:rFonts w:cs="Arial"/>
                <w:b/>
                <w:sz w:val="18"/>
                <w:szCs w:val="18"/>
              </w:rPr>
              <w:sym w:font="Wingdings" w:char="F0FC"/>
            </w:r>
            <w:r w:rsidRPr="00EE1C77">
              <w:rPr>
                <w:rFonts w:cs="Arial"/>
                <w:b/>
                <w:sz w:val="18"/>
                <w:szCs w:val="18"/>
              </w:rPr>
              <w:t xml:space="preserve"> </w:t>
            </w:r>
          </w:p>
          <w:p w:rsidR="00494C5E" w:rsidRPr="00EE1C77" w:rsidRDefault="009A194F" w:rsidP="000C5A71">
            <w:pPr>
              <w:spacing w:before="240" w:after="260"/>
              <w:jc w:val="center"/>
              <w:rPr>
                <w:rFonts w:eastAsia="Times New Roman" w:cs="Arial"/>
                <w:b/>
                <w:sz w:val="18"/>
                <w:szCs w:val="18"/>
              </w:rPr>
            </w:pPr>
            <w:r w:rsidRPr="00EE1C77">
              <w:rPr>
                <w:rFonts w:cs="Arial"/>
                <w:b/>
                <w:sz w:val="18"/>
                <w:szCs w:val="18"/>
              </w:rPr>
              <w:t xml:space="preserve">(Retail and </w:t>
            </w:r>
            <w:proofErr w:type="spellStart"/>
            <w:r w:rsidR="00AC7C9C" w:rsidRPr="00EE1C77">
              <w:rPr>
                <w:rFonts w:cs="Arial"/>
                <w:b/>
                <w:sz w:val="18"/>
                <w:szCs w:val="18"/>
              </w:rPr>
              <w:t>Opt</w:t>
            </w:r>
            <w:proofErr w:type="spellEnd"/>
            <w:r w:rsidR="00AC7C9C" w:rsidRPr="00EE1C77">
              <w:rPr>
                <w:rFonts w:cs="Arial"/>
                <w:b/>
                <w:sz w:val="18"/>
                <w:szCs w:val="18"/>
              </w:rPr>
              <w:t xml:space="preserve">-up </w:t>
            </w:r>
            <w:r w:rsidRPr="00EE1C77">
              <w:rPr>
                <w:rFonts w:cs="Arial"/>
                <w:b/>
                <w:sz w:val="18"/>
                <w:szCs w:val="18"/>
              </w:rPr>
              <w:t>Professional)</w:t>
            </w:r>
          </w:p>
        </w:tc>
        <w:tc>
          <w:tcPr>
            <w:tcW w:w="243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sz w:val="18"/>
                <w:szCs w:val="18"/>
                <w:lang w:val="en-US" w:eastAsia="en-GB"/>
              </w:rPr>
            </w:pPr>
            <w:r w:rsidRPr="00EE1C77">
              <w:rPr>
                <w:rFonts w:eastAsia="Times New Roman" w:cs="Arial"/>
                <w:b/>
                <w:bCs/>
                <w:sz w:val="18"/>
                <w:szCs w:val="18"/>
                <w:lang w:eastAsia="en-GB"/>
              </w:rPr>
              <w:t>×</w:t>
            </w:r>
          </w:p>
        </w:tc>
        <w:tc>
          <w:tcPr>
            <w:tcW w:w="2988" w:type="dxa"/>
            <w:tcBorders>
              <w:top w:val="single" w:sz="4" w:space="0" w:color="auto"/>
              <w:left w:val="single" w:sz="4" w:space="0" w:color="auto"/>
              <w:bottom w:val="single" w:sz="4" w:space="0" w:color="auto"/>
              <w:right w:val="single" w:sz="4" w:space="0" w:color="auto"/>
            </w:tcBorders>
          </w:tcPr>
          <w:p w:rsidR="00494C5E" w:rsidRPr="00EE1C77" w:rsidRDefault="00494C5E" w:rsidP="00556FCC">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Branch/</w:t>
            </w:r>
          </w:p>
          <w:p w:rsidR="00494C5E" w:rsidRPr="00EE1C77" w:rsidRDefault="00494C5E" w:rsidP="00556FCC">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Subsidiary</w:t>
            </w:r>
          </w:p>
        </w:tc>
        <w:tc>
          <w:tcPr>
            <w:tcW w:w="2410"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eastAsia="Times New Roman" w:cs="Arial"/>
                <w:b/>
                <w:bCs/>
                <w:sz w:val="18"/>
                <w:szCs w:val="18"/>
                <w:lang w:eastAsia="en-GB"/>
              </w:rPr>
              <w:t>×</w:t>
            </w:r>
          </w:p>
        </w:tc>
        <w:tc>
          <w:tcPr>
            <w:tcW w:w="2125" w:type="dxa"/>
            <w:tcBorders>
              <w:top w:val="single" w:sz="4" w:space="0" w:color="auto"/>
              <w:left w:val="single" w:sz="4" w:space="0" w:color="auto"/>
              <w:bottom w:val="single" w:sz="4" w:space="0" w:color="auto"/>
              <w:right w:val="single" w:sz="4" w:space="0" w:color="auto"/>
            </w:tcBorders>
          </w:tcPr>
          <w:p w:rsidR="00494C5E" w:rsidRPr="00EE1C77" w:rsidRDefault="00EF39BF"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3773"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pStyle w:val="BulletPoint1"/>
              <w:numPr>
                <w:ilvl w:val="0"/>
                <w:numId w:val="0"/>
              </w:numPr>
              <w:tabs>
                <w:tab w:val="clear" w:pos="684"/>
              </w:tabs>
              <w:ind w:left="458"/>
              <w:jc w:val="center"/>
              <w:rPr>
                <w:rFonts w:cs="Arial"/>
                <w:b/>
                <w:szCs w:val="18"/>
              </w:rPr>
            </w:pPr>
            <w:r w:rsidRPr="00EE1C77">
              <w:rPr>
                <w:rFonts w:cs="Arial"/>
                <w:b/>
                <w:color w:val="auto"/>
                <w:szCs w:val="18"/>
              </w:rPr>
              <w:sym w:font="Wingdings" w:char="F0FC"/>
            </w:r>
          </w:p>
        </w:tc>
        <w:tc>
          <w:tcPr>
            <w:tcW w:w="2607" w:type="dxa"/>
            <w:tcBorders>
              <w:top w:val="single" w:sz="4" w:space="0" w:color="auto"/>
              <w:left w:val="single" w:sz="4" w:space="0" w:color="auto"/>
              <w:bottom w:val="single" w:sz="4" w:space="0" w:color="auto"/>
              <w:right w:val="single" w:sz="4" w:space="0" w:color="auto"/>
            </w:tcBorders>
          </w:tcPr>
          <w:p w:rsidR="00494C5E" w:rsidRPr="00EE1C77" w:rsidRDefault="0099061D" w:rsidP="000C5A71">
            <w:pPr>
              <w:pStyle w:val="BulletPoint1"/>
              <w:numPr>
                <w:ilvl w:val="0"/>
                <w:numId w:val="0"/>
              </w:numPr>
              <w:tabs>
                <w:tab w:val="clear" w:pos="684"/>
              </w:tabs>
              <w:ind w:left="458"/>
              <w:jc w:val="center"/>
              <w:rPr>
                <w:rFonts w:cs="Arial"/>
                <w:b/>
                <w:szCs w:val="18"/>
              </w:rPr>
            </w:pPr>
            <w:r w:rsidRPr="00EE1C77">
              <w:rPr>
                <w:rFonts w:cs="Arial"/>
                <w:b/>
                <w:color w:val="auto"/>
                <w:szCs w:val="18"/>
              </w:rPr>
              <w:t>Article 42 of MiFID2 has been implemented into Italian law without changes.</w:t>
            </w:r>
          </w:p>
        </w:tc>
      </w:tr>
      <w:tr w:rsidR="00487D14" w:rsidRPr="00EE1C77"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Spain</w:t>
            </w:r>
          </w:p>
        </w:tc>
        <w:tc>
          <w:tcPr>
            <w:tcW w:w="3513" w:type="dxa"/>
            <w:tcBorders>
              <w:top w:val="single" w:sz="4" w:space="0" w:color="auto"/>
              <w:left w:val="single" w:sz="4" w:space="0" w:color="auto"/>
              <w:bottom w:val="single" w:sz="4" w:space="0" w:color="auto"/>
              <w:right w:val="single" w:sz="4" w:space="0" w:color="auto"/>
            </w:tcBorders>
          </w:tcPr>
          <w:p w:rsidR="00E00813" w:rsidRDefault="00E00813" w:rsidP="000C5A71">
            <w:pPr>
              <w:spacing w:before="240" w:after="260"/>
              <w:jc w:val="center"/>
              <w:rPr>
                <w:rFonts w:cs="Arial"/>
                <w:b/>
                <w:sz w:val="18"/>
                <w:szCs w:val="18"/>
              </w:rPr>
            </w:pPr>
            <w:r w:rsidRPr="00EE1C77">
              <w:rPr>
                <w:rFonts w:cs="Arial"/>
                <w:b/>
                <w:sz w:val="18"/>
                <w:szCs w:val="18"/>
              </w:rPr>
              <w:sym w:font="Wingdings" w:char="F0FC"/>
            </w:r>
          </w:p>
          <w:p w:rsidR="00494C5E" w:rsidRPr="00EE1C77" w:rsidRDefault="00294DF3" w:rsidP="000C5A71">
            <w:pPr>
              <w:spacing w:before="240" w:after="260"/>
              <w:jc w:val="center"/>
              <w:rPr>
                <w:rFonts w:eastAsia="Times New Roman" w:cs="Arial"/>
                <w:b/>
                <w:sz w:val="18"/>
                <w:szCs w:val="18"/>
              </w:rPr>
            </w:pPr>
            <w:r w:rsidRPr="00EE1C77">
              <w:rPr>
                <w:rFonts w:cs="Arial"/>
                <w:b/>
                <w:sz w:val="18"/>
                <w:szCs w:val="18"/>
              </w:rPr>
              <w:t xml:space="preserve">(Retail and </w:t>
            </w:r>
            <w:proofErr w:type="spellStart"/>
            <w:r w:rsidRPr="00EE1C77">
              <w:rPr>
                <w:rFonts w:cs="Arial"/>
                <w:b/>
                <w:sz w:val="18"/>
                <w:szCs w:val="18"/>
              </w:rPr>
              <w:t>Opt</w:t>
            </w:r>
            <w:proofErr w:type="spellEnd"/>
            <w:r w:rsidRPr="00EE1C77">
              <w:rPr>
                <w:rFonts w:cs="Arial"/>
                <w:b/>
                <w:sz w:val="18"/>
                <w:szCs w:val="18"/>
              </w:rPr>
              <w:t>-up Professional)</w:t>
            </w:r>
          </w:p>
        </w:tc>
        <w:tc>
          <w:tcPr>
            <w:tcW w:w="2435" w:type="dxa"/>
            <w:tcBorders>
              <w:top w:val="single" w:sz="4" w:space="0" w:color="auto"/>
              <w:left w:val="single" w:sz="4" w:space="0" w:color="auto"/>
              <w:bottom w:val="single" w:sz="4" w:space="0" w:color="auto"/>
              <w:right w:val="single" w:sz="4" w:space="0" w:color="auto"/>
            </w:tcBorders>
          </w:tcPr>
          <w:p w:rsidR="00494C5E" w:rsidRPr="00EE1C77" w:rsidRDefault="00AC7C9C" w:rsidP="000C5A71">
            <w:pPr>
              <w:autoSpaceDE w:val="0"/>
              <w:autoSpaceDN w:val="0"/>
              <w:adjustRightInd w:val="0"/>
              <w:spacing w:before="240" w:after="260"/>
              <w:jc w:val="center"/>
              <w:rPr>
                <w:rFonts w:cs="Arial"/>
                <w:sz w:val="18"/>
                <w:szCs w:val="18"/>
                <w:lang w:val="en-US" w:eastAsia="en-GB"/>
              </w:rPr>
            </w:pPr>
            <w:r w:rsidRPr="00EE1C77">
              <w:rPr>
                <w:rFonts w:cs="Arial"/>
                <w:sz w:val="18"/>
                <w:szCs w:val="18"/>
                <w:lang w:val="en-US" w:eastAsia="en-GB"/>
              </w:rPr>
              <w:t>Cross-border license available</w:t>
            </w:r>
          </w:p>
        </w:tc>
        <w:tc>
          <w:tcPr>
            <w:tcW w:w="2988" w:type="dxa"/>
            <w:tcBorders>
              <w:top w:val="single" w:sz="4" w:space="0" w:color="auto"/>
              <w:left w:val="single" w:sz="4" w:space="0" w:color="auto"/>
              <w:bottom w:val="single" w:sz="4" w:space="0" w:color="auto"/>
              <w:right w:val="single" w:sz="4" w:space="0" w:color="auto"/>
            </w:tcBorders>
          </w:tcPr>
          <w:p w:rsidR="007B6ED8" w:rsidRPr="00EE1C77" w:rsidRDefault="007B6ED8" w:rsidP="007B6ED8">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Branch/</w:t>
            </w:r>
          </w:p>
          <w:p w:rsidR="00494C5E" w:rsidRPr="00EE1C77" w:rsidRDefault="007B6ED8" w:rsidP="007B6ED8">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Subsidiary</w:t>
            </w:r>
          </w:p>
          <w:p w:rsidR="00AC7C9C" w:rsidRPr="00EE1C77" w:rsidRDefault="00AC7C9C" w:rsidP="007B6ED8">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Cross-border</w:t>
            </w:r>
          </w:p>
        </w:tc>
        <w:tc>
          <w:tcPr>
            <w:tcW w:w="2410" w:type="dxa"/>
            <w:tcBorders>
              <w:top w:val="single" w:sz="4" w:space="0" w:color="auto"/>
              <w:left w:val="single" w:sz="4" w:space="0" w:color="auto"/>
              <w:bottom w:val="single" w:sz="4" w:space="0" w:color="auto"/>
              <w:right w:val="single" w:sz="4" w:space="0" w:color="auto"/>
            </w:tcBorders>
          </w:tcPr>
          <w:p w:rsidR="00494C5E" w:rsidRPr="00EE1C77" w:rsidRDefault="007B6ED8"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212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eastAsia="Times New Roman" w:cs="Arial"/>
                <w:b/>
                <w:bCs/>
                <w:sz w:val="18"/>
                <w:szCs w:val="18"/>
                <w:lang w:eastAsia="en-GB"/>
              </w:rPr>
              <w:t>×</w:t>
            </w:r>
          </w:p>
        </w:tc>
        <w:tc>
          <w:tcPr>
            <w:tcW w:w="3773" w:type="dxa"/>
            <w:tcBorders>
              <w:top w:val="single" w:sz="4" w:space="0" w:color="auto"/>
              <w:left w:val="single" w:sz="4" w:space="0" w:color="auto"/>
              <w:bottom w:val="single" w:sz="4" w:space="0" w:color="auto"/>
              <w:right w:val="single" w:sz="4" w:space="0" w:color="auto"/>
            </w:tcBorders>
          </w:tcPr>
          <w:p w:rsidR="00494C5E" w:rsidRPr="00EE1C77" w:rsidRDefault="002F58BF" w:rsidP="002F58BF">
            <w:pPr>
              <w:pStyle w:val="BulletPoint1"/>
              <w:numPr>
                <w:ilvl w:val="0"/>
                <w:numId w:val="0"/>
              </w:numPr>
              <w:tabs>
                <w:tab w:val="clear" w:pos="684"/>
              </w:tabs>
              <w:jc w:val="center"/>
              <w:rPr>
                <w:rFonts w:cs="Arial"/>
                <w:b/>
                <w:bCs/>
                <w:color w:val="auto"/>
                <w:szCs w:val="18"/>
              </w:rPr>
            </w:pPr>
            <w:r>
              <w:rPr>
                <w:rFonts w:cs="Arial"/>
                <w:b/>
                <w:color w:val="auto"/>
                <w:szCs w:val="18"/>
              </w:rPr>
              <w:t xml:space="preserve">       </w:t>
            </w:r>
            <w:r w:rsidR="004155FE" w:rsidRPr="002F58BF">
              <w:rPr>
                <w:rFonts w:cs="Arial"/>
                <w:b/>
                <w:color w:val="auto"/>
                <w:szCs w:val="18"/>
                <w:highlight w:val="yellow"/>
              </w:rPr>
              <w:sym w:font="Wingdings" w:char="F0FC"/>
            </w:r>
          </w:p>
          <w:p w:rsidR="00494C5E" w:rsidRPr="00EE1C77" w:rsidRDefault="00494C5E" w:rsidP="000C5A71">
            <w:pPr>
              <w:pStyle w:val="BulletPoint1"/>
              <w:numPr>
                <w:ilvl w:val="0"/>
                <w:numId w:val="0"/>
              </w:numPr>
              <w:tabs>
                <w:tab w:val="clear" w:pos="684"/>
              </w:tabs>
              <w:ind w:left="458"/>
              <w:jc w:val="center"/>
              <w:rPr>
                <w:rFonts w:cs="Arial"/>
                <w:b/>
                <w:szCs w:val="18"/>
              </w:rPr>
            </w:pPr>
            <w:bookmarkStart w:id="0" w:name="_GoBack"/>
            <w:bookmarkEnd w:id="0"/>
          </w:p>
        </w:tc>
        <w:tc>
          <w:tcPr>
            <w:tcW w:w="2607"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pStyle w:val="BulletPoint1"/>
              <w:numPr>
                <w:ilvl w:val="0"/>
                <w:numId w:val="0"/>
              </w:numPr>
              <w:tabs>
                <w:tab w:val="clear" w:pos="684"/>
              </w:tabs>
              <w:ind w:left="458"/>
              <w:jc w:val="center"/>
              <w:rPr>
                <w:rFonts w:cs="Arial"/>
                <w:b/>
                <w:szCs w:val="18"/>
              </w:rPr>
            </w:pPr>
            <w:r w:rsidRPr="00EE1C77">
              <w:rPr>
                <w:rFonts w:cs="Arial"/>
                <w:b/>
                <w:szCs w:val="18"/>
              </w:rPr>
              <w:t>TBC</w:t>
            </w:r>
          </w:p>
        </w:tc>
      </w:tr>
      <w:tr w:rsidR="00487D14" w:rsidRPr="00EE1C77"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494C5E" w:rsidRPr="00EE1C77" w:rsidRDefault="00494C5E" w:rsidP="000C5A71">
            <w:pPr>
              <w:jc w:val="center"/>
              <w:rPr>
                <w:rFonts w:eastAsia="Times New Roman" w:cs="Arial"/>
                <w:b/>
                <w:color w:val="FFFFFF" w:themeColor="background1"/>
                <w:sz w:val="18"/>
                <w:szCs w:val="18"/>
                <w:lang w:eastAsia="en-GB"/>
              </w:rPr>
            </w:pPr>
          </w:p>
          <w:p w:rsidR="00494C5E" w:rsidRPr="00EE1C77" w:rsidRDefault="00494C5E" w:rsidP="000C5A71">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Ireland</w:t>
            </w:r>
          </w:p>
        </w:tc>
        <w:tc>
          <w:tcPr>
            <w:tcW w:w="3513" w:type="dxa"/>
            <w:tcBorders>
              <w:top w:val="single" w:sz="4" w:space="0" w:color="auto"/>
              <w:left w:val="single" w:sz="4" w:space="0" w:color="auto"/>
              <w:bottom w:val="single" w:sz="4" w:space="0" w:color="auto"/>
              <w:right w:val="single" w:sz="4" w:space="0" w:color="auto"/>
            </w:tcBorders>
          </w:tcPr>
          <w:p w:rsidR="00423B73" w:rsidRPr="00EE1C77" w:rsidRDefault="00423B73" w:rsidP="0087606F">
            <w:pPr>
              <w:jc w:val="center"/>
              <w:rPr>
                <w:rFonts w:cs="Arial"/>
                <w:b/>
                <w:sz w:val="18"/>
                <w:szCs w:val="18"/>
              </w:rPr>
            </w:pPr>
            <w:r w:rsidRPr="00EE1C77">
              <w:rPr>
                <w:rFonts w:cs="Arial"/>
                <w:b/>
                <w:sz w:val="18"/>
                <w:szCs w:val="18"/>
              </w:rPr>
              <w:br/>
            </w:r>
            <w:r w:rsidRPr="00EE1C77">
              <w:rPr>
                <w:rFonts w:cs="Arial"/>
                <w:b/>
                <w:sz w:val="18"/>
                <w:szCs w:val="18"/>
              </w:rPr>
              <w:sym w:font="Wingdings" w:char="F0FC"/>
            </w:r>
          </w:p>
          <w:p w:rsidR="00423B73" w:rsidRPr="00EE1C77" w:rsidRDefault="00423B73" w:rsidP="0087606F">
            <w:pPr>
              <w:jc w:val="center"/>
              <w:rPr>
                <w:rFonts w:cs="Arial"/>
                <w:b/>
                <w:sz w:val="18"/>
                <w:szCs w:val="18"/>
              </w:rPr>
            </w:pPr>
          </w:p>
          <w:p w:rsidR="00494C5E" w:rsidRPr="00EE1C77" w:rsidRDefault="009F1331" w:rsidP="0087606F">
            <w:pPr>
              <w:jc w:val="center"/>
              <w:rPr>
                <w:rFonts w:eastAsia="Times New Roman" w:cs="Arial"/>
                <w:b/>
                <w:sz w:val="18"/>
                <w:szCs w:val="18"/>
              </w:rPr>
            </w:pPr>
            <w:r w:rsidRPr="00EE1C77">
              <w:rPr>
                <w:rFonts w:eastAsia="Times New Roman" w:cs="Arial"/>
                <w:b/>
                <w:sz w:val="18"/>
                <w:szCs w:val="18"/>
              </w:rPr>
              <w:t>(</w:t>
            </w:r>
            <w:r w:rsidR="00423B73" w:rsidRPr="00EE1C77">
              <w:rPr>
                <w:rFonts w:eastAsia="Times New Roman" w:cs="Arial"/>
                <w:b/>
                <w:sz w:val="18"/>
                <w:szCs w:val="18"/>
              </w:rPr>
              <w:t>Retail and Elected Professional)</w:t>
            </w:r>
          </w:p>
        </w:tc>
        <w:tc>
          <w:tcPr>
            <w:tcW w:w="243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sz w:val="18"/>
                <w:szCs w:val="18"/>
                <w:lang w:val="en-US" w:eastAsia="en-GB"/>
              </w:rPr>
            </w:pPr>
            <w:r w:rsidRPr="00EE1C77">
              <w:rPr>
                <w:rFonts w:eastAsia="Times New Roman" w:cs="Arial"/>
                <w:b/>
                <w:bCs/>
                <w:sz w:val="18"/>
                <w:szCs w:val="18"/>
                <w:lang w:eastAsia="en-GB"/>
              </w:rPr>
              <w:t>×</w:t>
            </w:r>
          </w:p>
        </w:tc>
        <w:tc>
          <w:tcPr>
            <w:tcW w:w="2988"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Branch/</w:t>
            </w:r>
          </w:p>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Subsidiary</w:t>
            </w:r>
          </w:p>
        </w:tc>
        <w:tc>
          <w:tcPr>
            <w:tcW w:w="2410"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eastAsia="Times New Roman" w:cs="Arial"/>
                <w:b/>
                <w:bCs/>
                <w:sz w:val="18"/>
                <w:szCs w:val="18"/>
                <w:lang w:eastAsia="en-GB"/>
              </w:rPr>
              <w:t>×</w:t>
            </w:r>
          </w:p>
        </w:tc>
        <w:tc>
          <w:tcPr>
            <w:tcW w:w="212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3773" w:type="dxa"/>
            <w:tcBorders>
              <w:top w:val="single" w:sz="4" w:space="0" w:color="auto"/>
              <w:left w:val="single" w:sz="4" w:space="0" w:color="auto"/>
              <w:bottom w:val="single" w:sz="4" w:space="0" w:color="auto"/>
              <w:right w:val="single" w:sz="4" w:space="0" w:color="auto"/>
            </w:tcBorders>
          </w:tcPr>
          <w:p w:rsidR="00494C5E" w:rsidRPr="00EE1C77" w:rsidRDefault="00423B73" w:rsidP="000C5A71">
            <w:pPr>
              <w:pStyle w:val="BulletPoint1"/>
              <w:numPr>
                <w:ilvl w:val="0"/>
                <w:numId w:val="0"/>
              </w:numPr>
              <w:tabs>
                <w:tab w:val="clear" w:pos="684"/>
              </w:tabs>
              <w:ind w:left="458"/>
              <w:jc w:val="center"/>
              <w:rPr>
                <w:rFonts w:cs="Arial"/>
                <w:b/>
                <w:szCs w:val="18"/>
              </w:rPr>
            </w:pPr>
            <w:r w:rsidRPr="00EE1C77">
              <w:rPr>
                <w:rFonts w:cs="Arial"/>
                <w:b/>
                <w:szCs w:val="18"/>
              </w:rPr>
              <w:sym w:font="Wingdings" w:char="F0FC"/>
            </w:r>
          </w:p>
          <w:p w:rsidR="00423B73" w:rsidRPr="00EE1C77" w:rsidRDefault="00423B73" w:rsidP="000C5A71">
            <w:pPr>
              <w:pStyle w:val="BulletPoint1"/>
              <w:numPr>
                <w:ilvl w:val="0"/>
                <w:numId w:val="0"/>
              </w:numPr>
              <w:tabs>
                <w:tab w:val="clear" w:pos="684"/>
              </w:tabs>
              <w:ind w:left="458"/>
              <w:jc w:val="center"/>
              <w:rPr>
                <w:rFonts w:cs="Arial"/>
                <w:b/>
                <w:szCs w:val="18"/>
                <w:lang w:val="en-US"/>
              </w:rPr>
            </w:pPr>
            <w:r w:rsidRPr="00EE1C77">
              <w:rPr>
                <w:rFonts w:cs="Arial"/>
                <w:b/>
                <w:szCs w:val="18"/>
              </w:rPr>
              <w:t>(but could fall within exemption) (under Article 42 MiFID2)</w:t>
            </w:r>
          </w:p>
        </w:tc>
        <w:tc>
          <w:tcPr>
            <w:tcW w:w="2607"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pStyle w:val="BulletPoint1"/>
              <w:numPr>
                <w:ilvl w:val="0"/>
                <w:numId w:val="0"/>
              </w:numPr>
              <w:tabs>
                <w:tab w:val="clear" w:pos="684"/>
              </w:tabs>
              <w:ind w:left="458"/>
              <w:jc w:val="center"/>
              <w:rPr>
                <w:rFonts w:cs="Arial"/>
                <w:b/>
                <w:szCs w:val="18"/>
              </w:rPr>
            </w:pPr>
          </w:p>
          <w:p w:rsidR="00423B73" w:rsidRPr="00EE1C77" w:rsidRDefault="00423B73" w:rsidP="000C5A71">
            <w:pPr>
              <w:pStyle w:val="BulletPoint1"/>
              <w:numPr>
                <w:ilvl w:val="0"/>
                <w:numId w:val="0"/>
              </w:numPr>
              <w:tabs>
                <w:tab w:val="clear" w:pos="684"/>
              </w:tabs>
              <w:ind w:left="458"/>
              <w:jc w:val="center"/>
              <w:rPr>
                <w:rFonts w:cs="Arial"/>
                <w:b/>
                <w:szCs w:val="18"/>
                <w:lang w:val="en-US"/>
              </w:rPr>
            </w:pPr>
            <w:r w:rsidRPr="00EE1C77">
              <w:rPr>
                <w:rFonts w:cs="Arial"/>
                <w:b/>
                <w:szCs w:val="18"/>
              </w:rPr>
              <w:t>MiFID2 Art 42 copied out</w:t>
            </w:r>
            <w:r w:rsidR="00DE302F">
              <w:rPr>
                <w:rFonts w:cs="Arial"/>
                <w:b/>
                <w:szCs w:val="18"/>
              </w:rPr>
              <w:t>.</w:t>
            </w:r>
          </w:p>
        </w:tc>
      </w:tr>
      <w:tr w:rsidR="00487D14" w:rsidRPr="00EE1C77"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494C5E" w:rsidRPr="00EE1C77" w:rsidRDefault="00494C5E" w:rsidP="000C5A71">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France</w:t>
            </w:r>
          </w:p>
        </w:tc>
        <w:tc>
          <w:tcPr>
            <w:tcW w:w="3513" w:type="dxa"/>
            <w:tcBorders>
              <w:top w:val="single" w:sz="4" w:space="0" w:color="auto"/>
              <w:left w:val="single" w:sz="4" w:space="0" w:color="auto"/>
              <w:bottom w:val="single" w:sz="4" w:space="0" w:color="auto"/>
              <w:right w:val="single" w:sz="4" w:space="0" w:color="auto"/>
            </w:tcBorders>
          </w:tcPr>
          <w:p w:rsidR="00AA252D" w:rsidRPr="00EE1C77" w:rsidRDefault="00AA252D" w:rsidP="00AA252D">
            <w:pPr>
              <w:spacing w:before="240" w:after="260"/>
              <w:jc w:val="center"/>
              <w:rPr>
                <w:rFonts w:cs="Arial"/>
                <w:b/>
                <w:sz w:val="18"/>
                <w:szCs w:val="18"/>
              </w:rPr>
            </w:pPr>
            <w:r w:rsidRPr="00EE1C77">
              <w:rPr>
                <w:rFonts w:cs="Arial"/>
                <w:b/>
                <w:sz w:val="18"/>
                <w:szCs w:val="18"/>
              </w:rPr>
              <w:sym w:font="Wingdings" w:char="F0FC"/>
            </w:r>
            <w:r w:rsidRPr="00EE1C77">
              <w:rPr>
                <w:rFonts w:cs="Arial"/>
                <w:b/>
                <w:sz w:val="18"/>
                <w:szCs w:val="18"/>
              </w:rPr>
              <w:t xml:space="preserve"> </w:t>
            </w:r>
          </w:p>
          <w:p w:rsidR="00494C5E" w:rsidRPr="00EE1C77" w:rsidRDefault="00AA252D" w:rsidP="00AA252D">
            <w:pPr>
              <w:spacing w:before="240" w:after="260"/>
              <w:jc w:val="center"/>
              <w:rPr>
                <w:rFonts w:eastAsia="Times New Roman" w:cs="Arial"/>
                <w:b/>
                <w:sz w:val="18"/>
                <w:szCs w:val="18"/>
              </w:rPr>
            </w:pPr>
            <w:r w:rsidRPr="00EE1C77">
              <w:rPr>
                <w:rFonts w:cs="Arial"/>
                <w:b/>
                <w:sz w:val="18"/>
                <w:szCs w:val="18"/>
              </w:rPr>
              <w:t xml:space="preserve">(Retail and </w:t>
            </w:r>
            <w:proofErr w:type="spellStart"/>
            <w:r w:rsidRPr="00EE1C77">
              <w:rPr>
                <w:rFonts w:cs="Arial"/>
                <w:b/>
                <w:sz w:val="18"/>
                <w:szCs w:val="18"/>
              </w:rPr>
              <w:t>Opt</w:t>
            </w:r>
            <w:proofErr w:type="spellEnd"/>
            <w:r w:rsidRPr="00EE1C77">
              <w:rPr>
                <w:rFonts w:cs="Arial"/>
                <w:b/>
                <w:sz w:val="18"/>
                <w:szCs w:val="18"/>
              </w:rPr>
              <w:t>-up</w:t>
            </w:r>
            <w:r w:rsidR="0087606F" w:rsidRPr="00EE1C77">
              <w:rPr>
                <w:rFonts w:cs="Arial"/>
                <w:b/>
                <w:sz w:val="18"/>
                <w:szCs w:val="18"/>
              </w:rPr>
              <w:t xml:space="preserve"> </w:t>
            </w:r>
            <w:r w:rsidRPr="00EE1C77">
              <w:rPr>
                <w:rFonts w:cs="Arial"/>
                <w:b/>
                <w:sz w:val="18"/>
                <w:szCs w:val="18"/>
              </w:rPr>
              <w:t>Professional)</w:t>
            </w:r>
          </w:p>
        </w:tc>
        <w:tc>
          <w:tcPr>
            <w:tcW w:w="2435"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sz w:val="18"/>
                <w:szCs w:val="18"/>
                <w:lang w:val="en-US" w:eastAsia="en-GB"/>
              </w:rPr>
            </w:pPr>
            <w:r w:rsidRPr="00EE1C77">
              <w:rPr>
                <w:rFonts w:eastAsia="Times New Roman" w:cs="Arial"/>
                <w:b/>
                <w:bCs/>
                <w:sz w:val="18"/>
                <w:szCs w:val="18"/>
                <w:lang w:eastAsia="en-GB"/>
              </w:rPr>
              <w:t>×</w:t>
            </w:r>
          </w:p>
        </w:tc>
        <w:tc>
          <w:tcPr>
            <w:tcW w:w="2988"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Subsidiary</w:t>
            </w:r>
          </w:p>
        </w:tc>
        <w:tc>
          <w:tcPr>
            <w:tcW w:w="2410"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autoSpaceDE w:val="0"/>
              <w:autoSpaceDN w:val="0"/>
              <w:adjustRightInd w:val="0"/>
              <w:spacing w:before="240" w:after="260"/>
              <w:jc w:val="center"/>
              <w:rPr>
                <w:rFonts w:cs="Arial"/>
                <w:b/>
                <w:sz w:val="18"/>
                <w:szCs w:val="18"/>
                <w:lang w:val="en-US" w:eastAsia="en-GB"/>
              </w:rPr>
            </w:pPr>
            <w:r w:rsidRPr="00EE1C77">
              <w:rPr>
                <w:rFonts w:eastAsia="Times New Roman" w:cs="Arial"/>
                <w:b/>
                <w:bCs/>
                <w:sz w:val="18"/>
                <w:szCs w:val="18"/>
                <w:lang w:eastAsia="en-GB"/>
              </w:rPr>
              <w:t>×</w:t>
            </w:r>
          </w:p>
        </w:tc>
        <w:tc>
          <w:tcPr>
            <w:tcW w:w="2125" w:type="dxa"/>
            <w:tcBorders>
              <w:top w:val="single" w:sz="4" w:space="0" w:color="auto"/>
              <w:left w:val="single" w:sz="4" w:space="0" w:color="auto"/>
              <w:bottom w:val="single" w:sz="4" w:space="0" w:color="auto"/>
              <w:right w:val="single" w:sz="4" w:space="0" w:color="auto"/>
            </w:tcBorders>
          </w:tcPr>
          <w:p w:rsidR="00494C5E" w:rsidRPr="00EE1C77" w:rsidRDefault="00EF39BF" w:rsidP="000C5A71">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3773" w:type="dxa"/>
            <w:tcBorders>
              <w:top w:val="single" w:sz="4" w:space="0" w:color="auto"/>
              <w:left w:val="single" w:sz="4" w:space="0" w:color="auto"/>
              <w:bottom w:val="single" w:sz="4" w:space="0" w:color="auto"/>
              <w:right w:val="single" w:sz="4" w:space="0" w:color="auto"/>
            </w:tcBorders>
          </w:tcPr>
          <w:p w:rsidR="00494C5E" w:rsidRPr="00EE1C77" w:rsidRDefault="00494C5E" w:rsidP="000C5A71">
            <w:pPr>
              <w:pStyle w:val="BulletPoint1"/>
              <w:numPr>
                <w:ilvl w:val="0"/>
                <w:numId w:val="0"/>
              </w:numPr>
              <w:tabs>
                <w:tab w:val="clear" w:pos="684"/>
              </w:tabs>
              <w:ind w:left="458"/>
              <w:jc w:val="center"/>
              <w:rPr>
                <w:rFonts w:cs="Arial"/>
                <w:b/>
                <w:szCs w:val="18"/>
                <w:lang w:val="en-US"/>
              </w:rPr>
            </w:pPr>
            <w:r w:rsidRPr="00EE1C77">
              <w:rPr>
                <w:rFonts w:cs="Arial"/>
                <w:b/>
                <w:color w:val="auto"/>
                <w:szCs w:val="18"/>
              </w:rPr>
              <w:sym w:font="Wingdings" w:char="F0FC"/>
            </w:r>
          </w:p>
        </w:tc>
        <w:tc>
          <w:tcPr>
            <w:tcW w:w="2607" w:type="dxa"/>
            <w:tcBorders>
              <w:top w:val="single" w:sz="4" w:space="0" w:color="auto"/>
              <w:left w:val="single" w:sz="4" w:space="0" w:color="auto"/>
              <w:bottom w:val="single" w:sz="4" w:space="0" w:color="auto"/>
              <w:right w:val="single" w:sz="4" w:space="0" w:color="auto"/>
            </w:tcBorders>
          </w:tcPr>
          <w:p w:rsidR="00494C5E" w:rsidRPr="00EE1C77" w:rsidRDefault="00EF39BF" w:rsidP="000C5A71">
            <w:pPr>
              <w:pStyle w:val="BulletPoint1"/>
              <w:numPr>
                <w:ilvl w:val="0"/>
                <w:numId w:val="0"/>
              </w:numPr>
              <w:tabs>
                <w:tab w:val="clear" w:pos="684"/>
              </w:tabs>
              <w:ind w:left="458"/>
              <w:jc w:val="center"/>
              <w:rPr>
                <w:rFonts w:cs="Arial"/>
                <w:b/>
                <w:szCs w:val="18"/>
              </w:rPr>
            </w:pPr>
            <w:r w:rsidRPr="00EE1C77">
              <w:rPr>
                <w:rFonts w:cs="Arial"/>
                <w:b/>
                <w:szCs w:val="18"/>
              </w:rPr>
              <w:t xml:space="preserve">Transposition measures provide that the investment service French monopoly does not apply to investment services and ancillary services that are provided by a third country firm at the </w:t>
            </w:r>
            <w:r w:rsidRPr="00EE1C77">
              <w:rPr>
                <w:rFonts w:cs="Arial"/>
                <w:b/>
                <w:szCs w:val="18"/>
              </w:rPr>
              <w:lastRenderedPageBreak/>
              <w:t xml:space="preserve">‘own exclusive initiative’ of the client. However, such third country firm can only market financial instruments and provide investment and ancillary services to the French client on the exclusive initiative of such client. </w:t>
            </w:r>
            <w:r w:rsidRPr="00EE1C77">
              <w:rPr>
                <w:rFonts w:cs="Arial"/>
                <w:szCs w:val="18"/>
              </w:rPr>
              <w:t>(</w:t>
            </w:r>
            <w:hyperlink r:id="rId9" w:history="1">
              <w:r w:rsidRPr="00EE1C77">
                <w:rPr>
                  <w:rStyle w:val="Hyperlink"/>
                  <w:rFonts w:cs="Arial"/>
                  <w:b/>
                  <w:szCs w:val="18"/>
                </w:rPr>
                <w:t>Art.L.532-51 of the CMF</w:t>
              </w:r>
            </w:hyperlink>
            <w:r w:rsidRPr="00EE1C77">
              <w:rPr>
                <w:rFonts w:cs="Arial"/>
                <w:szCs w:val="18"/>
              </w:rPr>
              <w:t>)</w:t>
            </w:r>
            <w:r w:rsidRPr="00EE1C77">
              <w:rPr>
                <w:rFonts w:cs="Arial"/>
                <w:b/>
                <w:szCs w:val="18"/>
              </w:rPr>
              <w:t>.</w:t>
            </w:r>
          </w:p>
          <w:p w:rsidR="009F1331" w:rsidRPr="00EE1C77" w:rsidRDefault="009F1331" w:rsidP="000C5A71">
            <w:pPr>
              <w:pStyle w:val="BulletPoint1"/>
              <w:numPr>
                <w:ilvl w:val="0"/>
                <w:numId w:val="0"/>
              </w:numPr>
              <w:tabs>
                <w:tab w:val="clear" w:pos="684"/>
              </w:tabs>
              <w:ind w:left="458"/>
              <w:jc w:val="center"/>
              <w:rPr>
                <w:rFonts w:cs="Arial"/>
                <w:b/>
                <w:szCs w:val="18"/>
                <w:lang w:val="en-US"/>
              </w:rPr>
            </w:pPr>
            <w:r w:rsidRPr="00EE1C77">
              <w:rPr>
                <w:rFonts w:cs="Arial"/>
                <w:b/>
                <w:szCs w:val="18"/>
              </w:rPr>
              <w:t>Counsel’s understanding is that internal guidance within the public sector is to advise such entities not to opt-up.</w:t>
            </w:r>
          </w:p>
        </w:tc>
      </w:tr>
      <w:tr w:rsidR="00487D14" w:rsidRPr="00EE1C77"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6E694C" w:rsidRPr="00EE1C77" w:rsidRDefault="006E694C" w:rsidP="000C5A71">
            <w:pPr>
              <w:jc w:val="center"/>
              <w:rPr>
                <w:rFonts w:eastAsia="Times New Roman" w:cs="Arial"/>
                <w:b/>
                <w:color w:val="FFFFFF" w:themeColor="background1"/>
                <w:sz w:val="18"/>
                <w:szCs w:val="18"/>
                <w:lang w:eastAsia="en-GB"/>
              </w:rPr>
            </w:pPr>
          </w:p>
          <w:p w:rsidR="006E694C" w:rsidRPr="00EE1C77" w:rsidRDefault="006E694C" w:rsidP="000C5A71">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Netherlands</w:t>
            </w:r>
          </w:p>
        </w:tc>
        <w:tc>
          <w:tcPr>
            <w:tcW w:w="3513" w:type="dxa"/>
            <w:tcBorders>
              <w:top w:val="single" w:sz="4" w:space="0" w:color="auto"/>
              <w:left w:val="single" w:sz="4" w:space="0" w:color="auto"/>
              <w:bottom w:val="single" w:sz="4" w:space="0" w:color="auto"/>
              <w:right w:val="single" w:sz="4" w:space="0" w:color="auto"/>
            </w:tcBorders>
          </w:tcPr>
          <w:p w:rsidR="006E694C" w:rsidRPr="00EE1C77" w:rsidRDefault="006E694C" w:rsidP="00BF6B7E">
            <w:pPr>
              <w:pStyle w:val="ListParagraph"/>
              <w:spacing w:after="0" w:line="240" w:lineRule="auto"/>
              <w:ind w:left="0"/>
              <w:contextualSpacing w:val="0"/>
              <w:jc w:val="center"/>
              <w:rPr>
                <w:rFonts w:ascii="Arial" w:hAnsi="Arial" w:cs="Arial"/>
                <w:b/>
                <w:sz w:val="18"/>
                <w:szCs w:val="18"/>
              </w:rPr>
            </w:pPr>
            <w:r w:rsidRPr="00EE1C77">
              <w:rPr>
                <w:rFonts w:ascii="Arial" w:hAnsi="Arial" w:cs="Arial"/>
                <w:b/>
                <w:sz w:val="18"/>
                <w:szCs w:val="18"/>
              </w:rPr>
              <w:sym w:font="Wingdings" w:char="F0FC"/>
            </w:r>
            <w:r w:rsidRPr="00EE1C77">
              <w:rPr>
                <w:rFonts w:ascii="Arial" w:hAnsi="Arial" w:cs="Arial"/>
                <w:b/>
                <w:sz w:val="18"/>
                <w:szCs w:val="18"/>
              </w:rPr>
              <w:t xml:space="preserve"> </w:t>
            </w:r>
          </w:p>
          <w:p w:rsidR="006E694C" w:rsidRPr="00EE1C77" w:rsidRDefault="006E694C" w:rsidP="00BF6B7E">
            <w:pPr>
              <w:pStyle w:val="ListParagraph"/>
              <w:spacing w:after="0" w:line="240" w:lineRule="auto"/>
              <w:ind w:left="0"/>
              <w:contextualSpacing w:val="0"/>
              <w:jc w:val="center"/>
              <w:rPr>
                <w:rFonts w:ascii="Arial" w:hAnsi="Arial" w:cs="Arial"/>
                <w:b/>
                <w:sz w:val="18"/>
                <w:szCs w:val="18"/>
              </w:rPr>
            </w:pPr>
            <w:r w:rsidRPr="00EE1C77">
              <w:rPr>
                <w:rFonts w:ascii="Arial" w:hAnsi="Arial" w:cs="Arial"/>
                <w:b/>
                <w:sz w:val="18"/>
                <w:szCs w:val="18"/>
              </w:rPr>
              <w:t xml:space="preserve">(Retail and </w:t>
            </w:r>
            <w:proofErr w:type="spellStart"/>
            <w:r w:rsidRPr="00EE1C77">
              <w:rPr>
                <w:rFonts w:ascii="Arial" w:hAnsi="Arial" w:cs="Arial"/>
                <w:b/>
                <w:sz w:val="18"/>
                <w:szCs w:val="18"/>
              </w:rPr>
              <w:t>Opt</w:t>
            </w:r>
            <w:proofErr w:type="spellEnd"/>
            <w:r w:rsidRPr="00EE1C77">
              <w:rPr>
                <w:rFonts w:ascii="Arial" w:hAnsi="Arial" w:cs="Arial"/>
                <w:b/>
                <w:sz w:val="18"/>
                <w:szCs w:val="18"/>
              </w:rPr>
              <w:t xml:space="preserve"> up professional</w:t>
            </w:r>
            <w:r w:rsidR="008A3FF3">
              <w:rPr>
                <w:rFonts w:ascii="Arial" w:hAnsi="Arial" w:cs="Arial"/>
                <w:b/>
                <w:sz w:val="18"/>
                <w:szCs w:val="18"/>
              </w:rPr>
              <w:t>.</w:t>
            </w:r>
            <w:r w:rsidR="00487D14" w:rsidRPr="00EE1C77">
              <w:rPr>
                <w:rFonts w:ascii="Arial" w:hAnsi="Arial" w:cs="Arial"/>
                <w:b/>
                <w:sz w:val="18"/>
                <w:szCs w:val="18"/>
              </w:rPr>
              <w:t xml:space="preserve"> Non-</w:t>
            </w:r>
            <w:r w:rsidRPr="00EE1C77">
              <w:rPr>
                <w:rFonts w:ascii="Arial" w:hAnsi="Arial" w:cs="Arial"/>
                <w:b/>
                <w:sz w:val="18"/>
                <w:szCs w:val="18"/>
              </w:rPr>
              <w:t>designated third countr</w:t>
            </w:r>
            <w:r w:rsidR="00487D14" w:rsidRPr="00EE1C77">
              <w:rPr>
                <w:rFonts w:ascii="Arial" w:hAnsi="Arial" w:cs="Arial"/>
                <w:b/>
                <w:sz w:val="18"/>
                <w:szCs w:val="18"/>
              </w:rPr>
              <w:t>y</w:t>
            </w:r>
            <w:r w:rsidRPr="00EE1C77">
              <w:rPr>
                <w:rFonts w:ascii="Arial" w:hAnsi="Arial" w:cs="Arial"/>
                <w:b/>
                <w:sz w:val="18"/>
                <w:szCs w:val="18"/>
              </w:rPr>
              <w:t xml:space="preserve"> </w:t>
            </w:r>
            <w:r w:rsidR="00487D14" w:rsidRPr="00EE1C77">
              <w:rPr>
                <w:rFonts w:ascii="Arial" w:hAnsi="Arial" w:cs="Arial"/>
                <w:b/>
                <w:sz w:val="18"/>
                <w:szCs w:val="18"/>
              </w:rPr>
              <w:t>entities will have to appoint a representative in the Netherlands when offering services to per se professionals and ECP</w:t>
            </w:r>
            <w:r w:rsidRPr="00EE1C77">
              <w:rPr>
                <w:rFonts w:ascii="Arial" w:hAnsi="Arial" w:cs="Arial"/>
                <w:b/>
                <w:sz w:val="18"/>
                <w:szCs w:val="18"/>
              </w:rPr>
              <w:t>s)</w:t>
            </w:r>
          </w:p>
          <w:p w:rsidR="006E694C" w:rsidRPr="00EE1C77" w:rsidRDefault="006E694C" w:rsidP="00BF6B7E">
            <w:pPr>
              <w:pStyle w:val="ListParagraph"/>
              <w:spacing w:after="0" w:line="240" w:lineRule="auto"/>
              <w:ind w:left="0"/>
              <w:contextualSpacing w:val="0"/>
              <w:jc w:val="center"/>
              <w:rPr>
                <w:rFonts w:ascii="Arial" w:eastAsia="Times New Roman" w:hAnsi="Arial" w:cs="Arial"/>
                <w:b/>
                <w:sz w:val="18"/>
                <w:szCs w:val="18"/>
              </w:rPr>
            </w:pPr>
          </w:p>
        </w:tc>
        <w:tc>
          <w:tcPr>
            <w:tcW w:w="2435" w:type="dxa"/>
            <w:tcBorders>
              <w:top w:val="single" w:sz="4" w:space="0" w:color="auto"/>
              <w:left w:val="single" w:sz="4" w:space="0" w:color="auto"/>
              <w:bottom w:val="single" w:sz="4" w:space="0" w:color="auto"/>
              <w:right w:val="single" w:sz="4" w:space="0" w:color="auto"/>
            </w:tcBorders>
          </w:tcPr>
          <w:p w:rsidR="006E694C" w:rsidRPr="00EE1C77" w:rsidRDefault="006E694C" w:rsidP="00BF6B7E">
            <w:pPr>
              <w:autoSpaceDE w:val="0"/>
              <w:autoSpaceDN w:val="0"/>
              <w:adjustRightInd w:val="0"/>
              <w:spacing w:before="240" w:after="260"/>
              <w:jc w:val="center"/>
              <w:rPr>
                <w:rFonts w:cs="Arial"/>
                <w:sz w:val="18"/>
                <w:szCs w:val="18"/>
                <w:lang w:val="en-US" w:eastAsia="en-GB"/>
              </w:rPr>
            </w:pPr>
            <w:r w:rsidRPr="00EE1C77">
              <w:rPr>
                <w:rFonts w:eastAsia="Times New Roman" w:cs="Arial"/>
                <w:b/>
                <w:bCs/>
                <w:sz w:val="18"/>
                <w:szCs w:val="18"/>
                <w:lang w:eastAsia="en-GB"/>
              </w:rPr>
              <w:t>×</w:t>
            </w:r>
          </w:p>
        </w:tc>
        <w:tc>
          <w:tcPr>
            <w:tcW w:w="2988" w:type="dxa"/>
            <w:tcBorders>
              <w:top w:val="single" w:sz="4" w:space="0" w:color="auto"/>
              <w:left w:val="single" w:sz="4" w:space="0" w:color="auto"/>
              <w:bottom w:val="single" w:sz="4" w:space="0" w:color="auto"/>
              <w:right w:val="single" w:sz="4" w:space="0" w:color="auto"/>
            </w:tcBorders>
          </w:tcPr>
          <w:p w:rsidR="006E694C" w:rsidRPr="00EE1C77" w:rsidRDefault="006E694C" w:rsidP="00BF6B7E">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Branch/</w:t>
            </w:r>
          </w:p>
          <w:p w:rsidR="006E694C" w:rsidRPr="00EE1C77" w:rsidRDefault="006E694C" w:rsidP="00BF6B7E">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Subsidiary</w:t>
            </w:r>
          </w:p>
        </w:tc>
        <w:tc>
          <w:tcPr>
            <w:tcW w:w="2410" w:type="dxa"/>
            <w:tcBorders>
              <w:top w:val="single" w:sz="4" w:space="0" w:color="auto"/>
              <w:left w:val="single" w:sz="4" w:space="0" w:color="auto"/>
              <w:bottom w:val="single" w:sz="4" w:space="0" w:color="auto"/>
              <w:right w:val="single" w:sz="4" w:space="0" w:color="auto"/>
            </w:tcBorders>
          </w:tcPr>
          <w:p w:rsidR="006E694C" w:rsidRPr="00EE1C77" w:rsidRDefault="006E694C" w:rsidP="00BF6B7E">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2125" w:type="dxa"/>
            <w:tcBorders>
              <w:top w:val="single" w:sz="4" w:space="0" w:color="auto"/>
              <w:left w:val="single" w:sz="4" w:space="0" w:color="auto"/>
              <w:bottom w:val="single" w:sz="4" w:space="0" w:color="auto"/>
              <w:right w:val="single" w:sz="4" w:space="0" w:color="auto"/>
            </w:tcBorders>
          </w:tcPr>
          <w:p w:rsidR="006E694C" w:rsidRPr="00EE1C77" w:rsidRDefault="006E694C" w:rsidP="00BF6B7E">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3773" w:type="dxa"/>
            <w:tcBorders>
              <w:top w:val="single" w:sz="4" w:space="0" w:color="auto"/>
              <w:left w:val="single" w:sz="4" w:space="0" w:color="auto"/>
              <w:bottom w:val="single" w:sz="4" w:space="0" w:color="auto"/>
              <w:right w:val="single" w:sz="4" w:space="0" w:color="auto"/>
            </w:tcBorders>
          </w:tcPr>
          <w:p w:rsidR="006E694C" w:rsidRPr="00EE1C77" w:rsidRDefault="006E694C" w:rsidP="00BF6B7E">
            <w:pPr>
              <w:pStyle w:val="BulletPoint1"/>
              <w:numPr>
                <w:ilvl w:val="0"/>
                <w:numId w:val="0"/>
              </w:numPr>
              <w:tabs>
                <w:tab w:val="clear" w:pos="684"/>
              </w:tabs>
              <w:ind w:left="458"/>
              <w:jc w:val="center"/>
              <w:rPr>
                <w:rFonts w:cs="Arial"/>
                <w:b/>
                <w:szCs w:val="18"/>
                <w:lang w:val="en-US"/>
              </w:rPr>
            </w:pPr>
            <w:r w:rsidRPr="00EE1C77">
              <w:rPr>
                <w:rFonts w:cs="Arial"/>
                <w:b/>
                <w:color w:val="auto"/>
                <w:szCs w:val="18"/>
              </w:rPr>
              <w:sym w:font="Wingdings" w:char="F0FC"/>
            </w:r>
          </w:p>
        </w:tc>
        <w:tc>
          <w:tcPr>
            <w:tcW w:w="2607" w:type="dxa"/>
            <w:tcBorders>
              <w:top w:val="single" w:sz="4" w:space="0" w:color="auto"/>
              <w:left w:val="single" w:sz="4" w:space="0" w:color="auto"/>
              <w:bottom w:val="single" w:sz="4" w:space="0" w:color="auto"/>
              <w:right w:val="single" w:sz="4" w:space="0" w:color="auto"/>
            </w:tcBorders>
          </w:tcPr>
          <w:p w:rsidR="006E694C" w:rsidRPr="00EE1C77" w:rsidRDefault="006E694C" w:rsidP="00BF6B7E">
            <w:pPr>
              <w:pStyle w:val="BulletPoint1"/>
              <w:numPr>
                <w:ilvl w:val="0"/>
                <w:numId w:val="0"/>
              </w:numPr>
              <w:tabs>
                <w:tab w:val="clear" w:pos="684"/>
              </w:tabs>
              <w:ind w:left="458"/>
              <w:rPr>
                <w:rFonts w:cs="Arial"/>
                <w:b/>
                <w:szCs w:val="18"/>
              </w:rPr>
            </w:pPr>
            <w:r w:rsidRPr="00EE1C77">
              <w:rPr>
                <w:rFonts w:cs="Arial"/>
                <w:b/>
                <w:szCs w:val="18"/>
              </w:rPr>
              <w:t xml:space="preserve">TBC </w:t>
            </w:r>
          </w:p>
          <w:p w:rsidR="006E694C" w:rsidRPr="00EE1C77" w:rsidRDefault="006E694C" w:rsidP="008337D1">
            <w:pPr>
              <w:pStyle w:val="BulletPoint1"/>
              <w:numPr>
                <w:ilvl w:val="0"/>
                <w:numId w:val="0"/>
              </w:numPr>
              <w:tabs>
                <w:tab w:val="clear" w:pos="684"/>
              </w:tabs>
              <w:jc w:val="center"/>
              <w:rPr>
                <w:rFonts w:cs="Arial"/>
                <w:b/>
                <w:szCs w:val="18"/>
                <w:lang w:val="en-US"/>
              </w:rPr>
            </w:pPr>
            <w:r w:rsidRPr="00EE1C77">
              <w:rPr>
                <w:rFonts w:cs="Arial"/>
                <w:b/>
                <w:szCs w:val="18"/>
              </w:rPr>
              <w:t>(Note: both are part of the legislative proposal for the implementation of MiFID2).</w:t>
            </w:r>
          </w:p>
        </w:tc>
      </w:tr>
      <w:tr w:rsidR="000C4D80" w:rsidRPr="00EE1C77"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0C4D80" w:rsidRPr="00EE1C77" w:rsidRDefault="000C4D80" w:rsidP="000C5A71">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Belgium</w:t>
            </w:r>
          </w:p>
        </w:tc>
        <w:tc>
          <w:tcPr>
            <w:tcW w:w="3513" w:type="dxa"/>
            <w:tcBorders>
              <w:top w:val="single" w:sz="4" w:space="0" w:color="auto"/>
              <w:left w:val="single" w:sz="4" w:space="0" w:color="auto"/>
              <w:bottom w:val="single" w:sz="4" w:space="0" w:color="auto"/>
              <w:right w:val="single" w:sz="4" w:space="0" w:color="auto"/>
            </w:tcBorders>
          </w:tcPr>
          <w:p w:rsidR="000C4D80" w:rsidRPr="00EE1C77" w:rsidRDefault="000C4D80" w:rsidP="00783951">
            <w:pPr>
              <w:spacing w:before="240" w:after="260"/>
              <w:rPr>
                <w:rFonts w:cs="Arial"/>
                <w:b/>
                <w:sz w:val="18"/>
                <w:szCs w:val="18"/>
                <w:lang w:val="en-US"/>
              </w:rPr>
            </w:pPr>
            <w:r w:rsidRPr="00EE1C77">
              <w:rPr>
                <w:rFonts w:cs="Arial"/>
                <w:b/>
                <w:sz w:val="18"/>
                <w:szCs w:val="18"/>
                <w:lang w:val="en-US"/>
              </w:rPr>
              <w:t>Branch regime implemented into Belgian law. However, an exception is made for third country investment firms, effectively providing investment services in their home country, who, without having to establish a Belgian branch, may provide investment services to (</w:t>
            </w:r>
            <w:proofErr w:type="spellStart"/>
            <w:r w:rsidRPr="00EE1C77">
              <w:rPr>
                <w:rFonts w:cs="Arial"/>
                <w:b/>
                <w:sz w:val="18"/>
                <w:szCs w:val="18"/>
                <w:lang w:val="en-US"/>
              </w:rPr>
              <w:t>i</w:t>
            </w:r>
            <w:proofErr w:type="spellEnd"/>
            <w:r w:rsidRPr="00EE1C77">
              <w:rPr>
                <w:rFonts w:cs="Arial"/>
                <w:b/>
                <w:sz w:val="18"/>
                <w:szCs w:val="18"/>
                <w:lang w:val="en-US"/>
              </w:rPr>
              <w:t xml:space="preserve">) eligible counterparties, (ii) professionals, and (iii) persons established in Belgium, having the nationality of the investment firm concerned or having the nationality of the country where the investment firm has a branch, to the extent that the investment firm is subject to supervision equal to that of Belgium </w:t>
            </w:r>
            <w:r w:rsidRPr="00EE1C77">
              <w:rPr>
                <w:rFonts w:cs="Arial"/>
                <w:b/>
                <w:sz w:val="18"/>
                <w:szCs w:val="18"/>
                <w:lang w:val="en-US"/>
              </w:rPr>
              <w:lastRenderedPageBreak/>
              <w:t>in such country.</w:t>
            </w:r>
          </w:p>
        </w:tc>
        <w:tc>
          <w:tcPr>
            <w:tcW w:w="2435" w:type="dxa"/>
            <w:tcBorders>
              <w:top w:val="single" w:sz="4" w:space="0" w:color="auto"/>
              <w:left w:val="single" w:sz="4" w:space="0" w:color="auto"/>
              <w:bottom w:val="single" w:sz="4" w:space="0" w:color="auto"/>
              <w:right w:val="single" w:sz="4" w:space="0" w:color="auto"/>
            </w:tcBorders>
          </w:tcPr>
          <w:p w:rsidR="000C4D80" w:rsidRPr="00EE1C77" w:rsidRDefault="000C4D80" w:rsidP="00783951">
            <w:pPr>
              <w:pStyle w:val="ListParagraph"/>
              <w:spacing w:after="0" w:line="240" w:lineRule="auto"/>
              <w:ind w:left="0"/>
              <w:contextualSpacing w:val="0"/>
              <w:jc w:val="center"/>
              <w:rPr>
                <w:rFonts w:ascii="Arial" w:hAnsi="Arial" w:cs="Arial"/>
                <w:sz w:val="18"/>
                <w:szCs w:val="18"/>
              </w:rPr>
            </w:pPr>
          </w:p>
          <w:p w:rsidR="000C4D80" w:rsidRPr="00EE1C77" w:rsidRDefault="000C4D80" w:rsidP="00783951">
            <w:pPr>
              <w:autoSpaceDE w:val="0"/>
              <w:autoSpaceDN w:val="0"/>
              <w:adjustRightInd w:val="0"/>
              <w:spacing w:before="240" w:after="260"/>
              <w:jc w:val="center"/>
              <w:rPr>
                <w:rFonts w:cs="Arial"/>
                <w:sz w:val="18"/>
                <w:szCs w:val="18"/>
                <w:lang w:val="en-US" w:eastAsia="en-GB"/>
              </w:rPr>
            </w:pPr>
            <w:r w:rsidRPr="00EE1C77">
              <w:rPr>
                <w:rFonts w:cs="Arial"/>
                <w:b/>
                <w:sz w:val="18"/>
                <w:szCs w:val="18"/>
              </w:rPr>
              <w:sym w:font="Wingdings" w:char="F0FC"/>
            </w:r>
          </w:p>
        </w:tc>
        <w:tc>
          <w:tcPr>
            <w:tcW w:w="2988" w:type="dxa"/>
            <w:tcBorders>
              <w:top w:val="single" w:sz="4" w:space="0" w:color="auto"/>
              <w:left w:val="single" w:sz="4" w:space="0" w:color="auto"/>
              <w:bottom w:val="single" w:sz="4" w:space="0" w:color="auto"/>
              <w:right w:val="single" w:sz="4" w:space="0" w:color="auto"/>
            </w:tcBorders>
          </w:tcPr>
          <w:p w:rsidR="000C4D80" w:rsidRPr="00EE1C77" w:rsidRDefault="000C4D80" w:rsidP="00783951">
            <w:pPr>
              <w:jc w:val="center"/>
              <w:rPr>
                <w:rFonts w:cs="Arial"/>
                <w:b/>
                <w:sz w:val="18"/>
                <w:szCs w:val="18"/>
                <w:lang w:val="en-US" w:eastAsia="en-GB"/>
              </w:rPr>
            </w:pPr>
          </w:p>
          <w:p w:rsidR="000C4D80" w:rsidRPr="00EE1C77" w:rsidRDefault="000C4D80" w:rsidP="00783951">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Branch/</w:t>
            </w:r>
          </w:p>
          <w:p w:rsidR="000C4D80" w:rsidRPr="00EE1C77" w:rsidRDefault="000C4D80" w:rsidP="00783951">
            <w:pPr>
              <w:autoSpaceDE w:val="0"/>
              <w:autoSpaceDN w:val="0"/>
              <w:adjustRightInd w:val="0"/>
              <w:spacing w:before="240" w:after="260"/>
              <w:jc w:val="center"/>
              <w:rPr>
                <w:rFonts w:cs="Arial"/>
                <w:b/>
                <w:sz w:val="18"/>
                <w:szCs w:val="18"/>
                <w:lang w:val="en-US" w:eastAsia="en-GB"/>
              </w:rPr>
            </w:pPr>
            <w:r w:rsidRPr="00EE1C77">
              <w:rPr>
                <w:rFonts w:cs="Arial"/>
                <w:b/>
                <w:sz w:val="18"/>
                <w:szCs w:val="18"/>
                <w:lang w:val="en-US" w:eastAsia="en-GB"/>
              </w:rPr>
              <w:t>Subsidiary</w:t>
            </w:r>
          </w:p>
        </w:tc>
        <w:tc>
          <w:tcPr>
            <w:tcW w:w="2410" w:type="dxa"/>
            <w:tcBorders>
              <w:top w:val="single" w:sz="4" w:space="0" w:color="auto"/>
              <w:left w:val="single" w:sz="4" w:space="0" w:color="auto"/>
              <w:bottom w:val="single" w:sz="4" w:space="0" w:color="auto"/>
              <w:right w:val="single" w:sz="4" w:space="0" w:color="auto"/>
            </w:tcBorders>
          </w:tcPr>
          <w:p w:rsidR="000C4D80" w:rsidRPr="00EE1C77" w:rsidRDefault="000C4D80" w:rsidP="00783951">
            <w:pPr>
              <w:jc w:val="center"/>
              <w:rPr>
                <w:rFonts w:cs="Arial"/>
                <w:b/>
                <w:sz w:val="18"/>
                <w:szCs w:val="18"/>
                <w:lang w:val="en-US" w:eastAsia="en-GB"/>
              </w:rPr>
            </w:pPr>
          </w:p>
          <w:p w:rsidR="000C4D80" w:rsidRPr="00EE1C77" w:rsidRDefault="000C4D80" w:rsidP="00783951">
            <w:pPr>
              <w:autoSpaceDE w:val="0"/>
              <w:autoSpaceDN w:val="0"/>
              <w:adjustRightInd w:val="0"/>
              <w:spacing w:before="240" w:after="260"/>
              <w:jc w:val="center"/>
              <w:rPr>
                <w:rFonts w:cs="Arial"/>
                <w:b/>
                <w:sz w:val="18"/>
                <w:szCs w:val="18"/>
                <w:lang w:val="en-US" w:eastAsia="en-GB"/>
              </w:rPr>
            </w:pPr>
            <w:r w:rsidRPr="00EE1C77">
              <w:rPr>
                <w:rFonts w:cs="Arial"/>
                <w:b/>
                <w:sz w:val="18"/>
                <w:szCs w:val="18"/>
              </w:rPr>
              <w:sym w:font="Wingdings" w:char="F0FC"/>
            </w:r>
          </w:p>
        </w:tc>
        <w:tc>
          <w:tcPr>
            <w:tcW w:w="2125" w:type="dxa"/>
            <w:tcBorders>
              <w:top w:val="single" w:sz="4" w:space="0" w:color="auto"/>
              <w:left w:val="single" w:sz="4" w:space="0" w:color="auto"/>
              <w:bottom w:val="single" w:sz="4" w:space="0" w:color="auto"/>
              <w:right w:val="single" w:sz="4" w:space="0" w:color="auto"/>
            </w:tcBorders>
          </w:tcPr>
          <w:p w:rsidR="000C4D80" w:rsidRPr="00EE1C77" w:rsidRDefault="000C4D80" w:rsidP="00783951">
            <w:pPr>
              <w:jc w:val="center"/>
              <w:rPr>
                <w:rFonts w:cs="Arial"/>
                <w:b/>
                <w:sz w:val="18"/>
                <w:szCs w:val="18"/>
                <w:lang w:val="en-US" w:eastAsia="en-GB"/>
              </w:rPr>
            </w:pPr>
          </w:p>
          <w:p w:rsidR="000C4D80" w:rsidRPr="00EE1C77" w:rsidRDefault="000C4D80" w:rsidP="00783951">
            <w:pPr>
              <w:autoSpaceDE w:val="0"/>
              <w:autoSpaceDN w:val="0"/>
              <w:adjustRightInd w:val="0"/>
              <w:spacing w:before="240" w:after="260"/>
              <w:jc w:val="center"/>
              <w:rPr>
                <w:rFonts w:cs="Arial"/>
                <w:b/>
                <w:sz w:val="18"/>
                <w:szCs w:val="18"/>
                <w:lang w:val="en-US" w:eastAsia="en-GB"/>
              </w:rPr>
            </w:pPr>
            <w:r w:rsidRPr="00EE1C77">
              <w:rPr>
                <w:rFonts w:eastAsia="Times New Roman" w:cs="Arial"/>
                <w:b/>
                <w:bCs/>
                <w:sz w:val="18"/>
                <w:szCs w:val="18"/>
                <w:lang w:eastAsia="en-GB"/>
              </w:rPr>
              <w:t>×</w:t>
            </w:r>
          </w:p>
        </w:tc>
        <w:tc>
          <w:tcPr>
            <w:tcW w:w="3773" w:type="dxa"/>
            <w:tcBorders>
              <w:top w:val="single" w:sz="4" w:space="0" w:color="auto"/>
              <w:left w:val="single" w:sz="4" w:space="0" w:color="auto"/>
              <w:bottom w:val="single" w:sz="4" w:space="0" w:color="auto"/>
              <w:right w:val="single" w:sz="4" w:space="0" w:color="auto"/>
            </w:tcBorders>
          </w:tcPr>
          <w:p w:rsidR="000C4D80" w:rsidRPr="00EE1C77" w:rsidRDefault="000C4D80" w:rsidP="00783951">
            <w:pPr>
              <w:pStyle w:val="BulletPoint1"/>
              <w:numPr>
                <w:ilvl w:val="0"/>
                <w:numId w:val="0"/>
              </w:numPr>
              <w:tabs>
                <w:tab w:val="clear" w:pos="684"/>
              </w:tabs>
              <w:ind w:left="458"/>
              <w:jc w:val="center"/>
              <w:rPr>
                <w:rFonts w:cs="Arial"/>
                <w:b/>
                <w:szCs w:val="18"/>
                <w:lang w:val="en-US"/>
              </w:rPr>
            </w:pPr>
            <w:r w:rsidRPr="00EE1C77">
              <w:rPr>
                <w:rFonts w:cs="Arial"/>
                <w:b/>
                <w:bCs/>
                <w:color w:val="auto"/>
                <w:szCs w:val="18"/>
              </w:rPr>
              <w:br/>
              <w:t>×</w:t>
            </w:r>
            <w:r w:rsidR="0076683B" w:rsidRPr="00EE1C77">
              <w:rPr>
                <w:rStyle w:val="FootnoteReference"/>
                <w:rFonts w:cs="Arial"/>
                <w:b/>
                <w:bCs/>
                <w:color w:val="auto"/>
                <w:szCs w:val="18"/>
              </w:rPr>
              <w:footnoteReference w:id="2"/>
            </w:r>
          </w:p>
        </w:tc>
        <w:tc>
          <w:tcPr>
            <w:tcW w:w="2607" w:type="dxa"/>
            <w:tcBorders>
              <w:top w:val="single" w:sz="4" w:space="0" w:color="auto"/>
              <w:left w:val="single" w:sz="4" w:space="0" w:color="auto"/>
              <w:bottom w:val="single" w:sz="4" w:space="0" w:color="auto"/>
              <w:right w:val="single" w:sz="4" w:space="0" w:color="auto"/>
            </w:tcBorders>
          </w:tcPr>
          <w:p w:rsidR="000C4D80" w:rsidRPr="00EE1C77" w:rsidRDefault="00837D05" w:rsidP="00783951">
            <w:pPr>
              <w:pStyle w:val="BulletPoint1"/>
              <w:numPr>
                <w:ilvl w:val="0"/>
                <w:numId w:val="0"/>
              </w:numPr>
              <w:tabs>
                <w:tab w:val="clear" w:pos="684"/>
              </w:tabs>
              <w:ind w:left="458"/>
              <w:jc w:val="center"/>
              <w:rPr>
                <w:rFonts w:cs="Arial"/>
                <w:b/>
                <w:szCs w:val="18"/>
                <w:lang w:val="en-US"/>
              </w:rPr>
            </w:pPr>
            <w:r w:rsidRPr="00EE1C77">
              <w:rPr>
                <w:rFonts w:cs="Arial"/>
                <w:b/>
                <w:szCs w:val="18"/>
                <w:lang w:val="en-US"/>
              </w:rPr>
              <w:t>Article 42 MiFID</w:t>
            </w:r>
            <w:r w:rsidR="000C4D80" w:rsidRPr="00EE1C77">
              <w:rPr>
                <w:rFonts w:cs="Arial"/>
                <w:b/>
                <w:szCs w:val="18"/>
                <w:lang w:val="en-US"/>
              </w:rPr>
              <w:t>2</w:t>
            </w:r>
            <w:r w:rsidRPr="00EE1C77">
              <w:rPr>
                <w:rFonts w:cs="Arial"/>
                <w:b/>
                <w:szCs w:val="18"/>
                <w:lang w:val="en-US"/>
              </w:rPr>
              <w:t xml:space="preserve"> </w:t>
            </w:r>
            <w:r w:rsidR="000C4D80" w:rsidRPr="00EE1C77">
              <w:rPr>
                <w:rFonts w:cs="Arial"/>
                <w:b/>
                <w:szCs w:val="18"/>
                <w:lang w:val="en-US"/>
              </w:rPr>
              <w:t xml:space="preserve">implemented into Belgian law without change. No guidance paper is available on the regulator’s interpretation of reverse initiative rules. </w:t>
            </w:r>
          </w:p>
        </w:tc>
      </w:tr>
      <w:tr w:rsidR="00EE1C77" w:rsidRPr="00487D14" w:rsidTr="00487D14">
        <w:trPr>
          <w:jc w:val="center"/>
        </w:trPr>
        <w:tc>
          <w:tcPr>
            <w:tcW w:w="2253" w:type="dxa"/>
            <w:tcBorders>
              <w:top w:val="single" w:sz="4" w:space="0" w:color="auto"/>
              <w:left w:val="single" w:sz="4" w:space="0" w:color="auto"/>
              <w:bottom w:val="single" w:sz="4" w:space="0" w:color="auto"/>
              <w:right w:val="single" w:sz="4" w:space="0" w:color="auto"/>
            </w:tcBorders>
            <w:shd w:val="clear" w:color="auto" w:fill="32464D"/>
          </w:tcPr>
          <w:p w:rsidR="00EE1C77" w:rsidRPr="00EE1C77" w:rsidRDefault="00EE1C77" w:rsidP="00EE1C77">
            <w:pPr>
              <w:jc w:val="center"/>
              <w:rPr>
                <w:rFonts w:eastAsia="Times New Roman" w:cs="Arial"/>
                <w:b/>
                <w:color w:val="FFFFFF" w:themeColor="background1"/>
                <w:sz w:val="18"/>
                <w:szCs w:val="18"/>
                <w:lang w:eastAsia="en-GB"/>
              </w:rPr>
            </w:pPr>
            <w:r w:rsidRPr="00EE1C77">
              <w:rPr>
                <w:rFonts w:eastAsia="Times New Roman" w:cs="Arial"/>
                <w:b/>
                <w:color w:val="FFFFFF" w:themeColor="background1"/>
                <w:sz w:val="18"/>
                <w:szCs w:val="18"/>
                <w:lang w:eastAsia="en-GB"/>
              </w:rPr>
              <w:t xml:space="preserve">Luxembourg </w:t>
            </w:r>
          </w:p>
        </w:tc>
        <w:tc>
          <w:tcPr>
            <w:tcW w:w="3513" w:type="dxa"/>
            <w:tcBorders>
              <w:top w:val="single" w:sz="4" w:space="0" w:color="auto"/>
              <w:left w:val="single" w:sz="4" w:space="0" w:color="auto"/>
              <w:bottom w:val="single" w:sz="4" w:space="0" w:color="auto"/>
              <w:right w:val="single" w:sz="4" w:space="0" w:color="auto"/>
            </w:tcBorders>
          </w:tcPr>
          <w:p w:rsidR="00EE1C77" w:rsidRPr="005C3130" w:rsidRDefault="00EE1C77" w:rsidP="00EE1C77">
            <w:pPr>
              <w:spacing w:before="240" w:after="260"/>
              <w:jc w:val="center"/>
              <w:rPr>
                <w:rFonts w:cs="Arial"/>
                <w:b/>
                <w:sz w:val="18"/>
                <w:szCs w:val="18"/>
              </w:rPr>
            </w:pPr>
            <w:r w:rsidRPr="005C3130">
              <w:rPr>
                <w:rFonts w:cs="Arial"/>
                <w:b/>
                <w:sz w:val="18"/>
                <w:szCs w:val="18"/>
              </w:rPr>
              <w:sym w:font="Wingdings" w:char="F0FC"/>
            </w:r>
            <w:r w:rsidRPr="005C3130">
              <w:rPr>
                <w:rFonts w:cs="Arial"/>
                <w:b/>
                <w:sz w:val="18"/>
                <w:szCs w:val="18"/>
              </w:rPr>
              <w:t xml:space="preserve"> </w:t>
            </w:r>
          </w:p>
          <w:p w:rsidR="00EE1C77" w:rsidRPr="005C3130" w:rsidRDefault="00EE1C77" w:rsidP="00EE1C77">
            <w:pPr>
              <w:spacing w:before="240" w:after="260"/>
              <w:jc w:val="center"/>
              <w:rPr>
                <w:rFonts w:cs="Arial"/>
                <w:b/>
                <w:sz w:val="18"/>
                <w:szCs w:val="18"/>
              </w:rPr>
            </w:pPr>
            <w:r w:rsidRPr="005C3130">
              <w:rPr>
                <w:rFonts w:cs="Arial"/>
                <w:b/>
                <w:sz w:val="18"/>
                <w:szCs w:val="18"/>
              </w:rPr>
              <w:t xml:space="preserve">(Retail and </w:t>
            </w:r>
            <w:proofErr w:type="spellStart"/>
            <w:r w:rsidRPr="005C3130">
              <w:rPr>
                <w:rFonts w:cs="Arial"/>
                <w:b/>
                <w:sz w:val="18"/>
                <w:szCs w:val="18"/>
              </w:rPr>
              <w:t>Opt</w:t>
            </w:r>
            <w:proofErr w:type="spellEnd"/>
            <w:r w:rsidRPr="005C3130">
              <w:rPr>
                <w:rFonts w:cs="Arial"/>
                <w:b/>
                <w:sz w:val="18"/>
                <w:szCs w:val="18"/>
              </w:rPr>
              <w:t>-up Professional)</w:t>
            </w:r>
          </w:p>
        </w:tc>
        <w:tc>
          <w:tcPr>
            <w:tcW w:w="2435" w:type="dxa"/>
            <w:tcBorders>
              <w:top w:val="single" w:sz="4" w:space="0" w:color="auto"/>
              <w:left w:val="single" w:sz="4" w:space="0" w:color="auto"/>
              <w:bottom w:val="single" w:sz="4" w:space="0" w:color="auto"/>
              <w:right w:val="single" w:sz="4" w:space="0" w:color="auto"/>
            </w:tcBorders>
          </w:tcPr>
          <w:p w:rsidR="00EE1C77" w:rsidRPr="005C3130" w:rsidRDefault="00EE1C77" w:rsidP="00EE1C77">
            <w:pPr>
              <w:pStyle w:val="ListParagraph"/>
              <w:spacing w:after="0" w:line="240" w:lineRule="auto"/>
              <w:ind w:left="0"/>
              <w:jc w:val="center"/>
              <w:rPr>
                <w:rFonts w:ascii="Arial" w:hAnsi="Arial" w:cs="Arial"/>
                <w:b/>
                <w:sz w:val="18"/>
                <w:szCs w:val="18"/>
                <w:lang w:val="en-US"/>
              </w:rPr>
            </w:pPr>
          </w:p>
          <w:p w:rsidR="00EE1C77" w:rsidRPr="005C3130" w:rsidRDefault="00EE1C77" w:rsidP="00EE1C77">
            <w:pPr>
              <w:autoSpaceDE w:val="0"/>
              <w:autoSpaceDN w:val="0"/>
              <w:adjustRightInd w:val="0"/>
              <w:spacing w:before="240" w:after="260"/>
              <w:rPr>
                <w:rFonts w:cs="Arial"/>
                <w:sz w:val="18"/>
                <w:szCs w:val="18"/>
              </w:rPr>
            </w:pPr>
            <w:r w:rsidRPr="005C3130">
              <w:rPr>
                <w:rFonts w:cs="Arial"/>
                <w:sz w:val="18"/>
                <w:szCs w:val="18"/>
                <w:lang w:val="en-US" w:eastAsia="en-GB"/>
              </w:rPr>
              <w:t>Cross-border license available</w:t>
            </w:r>
          </w:p>
        </w:tc>
        <w:tc>
          <w:tcPr>
            <w:tcW w:w="2988" w:type="dxa"/>
            <w:tcBorders>
              <w:top w:val="single" w:sz="4" w:space="0" w:color="auto"/>
              <w:left w:val="single" w:sz="4" w:space="0" w:color="auto"/>
              <w:bottom w:val="single" w:sz="4" w:space="0" w:color="auto"/>
              <w:right w:val="single" w:sz="4" w:space="0" w:color="auto"/>
            </w:tcBorders>
          </w:tcPr>
          <w:p w:rsidR="00EE1C77" w:rsidRPr="005C3130" w:rsidRDefault="00EE1C77" w:rsidP="00EE1C77">
            <w:pPr>
              <w:autoSpaceDE w:val="0"/>
              <w:autoSpaceDN w:val="0"/>
              <w:adjustRightInd w:val="0"/>
              <w:spacing w:before="240" w:after="260"/>
              <w:jc w:val="center"/>
              <w:rPr>
                <w:rFonts w:cs="Arial"/>
                <w:b/>
                <w:sz w:val="18"/>
                <w:szCs w:val="18"/>
                <w:lang w:val="en-US" w:eastAsia="en-GB"/>
              </w:rPr>
            </w:pPr>
            <w:r w:rsidRPr="005C3130">
              <w:rPr>
                <w:rFonts w:cs="Arial"/>
                <w:b/>
                <w:sz w:val="18"/>
                <w:szCs w:val="18"/>
                <w:lang w:val="en-US" w:eastAsia="en-GB"/>
              </w:rPr>
              <w:t>Branch/</w:t>
            </w:r>
          </w:p>
          <w:p w:rsidR="00EE1C77" w:rsidRPr="005C3130" w:rsidRDefault="00EE1C77" w:rsidP="00EE1C77">
            <w:pPr>
              <w:jc w:val="center"/>
              <w:rPr>
                <w:rFonts w:cs="Arial"/>
                <w:b/>
                <w:sz w:val="18"/>
                <w:szCs w:val="18"/>
                <w:lang w:val="en-US" w:eastAsia="en-GB"/>
              </w:rPr>
            </w:pPr>
            <w:r w:rsidRPr="005C3130">
              <w:rPr>
                <w:rFonts w:cs="Arial"/>
                <w:b/>
                <w:sz w:val="18"/>
                <w:szCs w:val="18"/>
                <w:lang w:val="en-US" w:eastAsia="en-GB"/>
              </w:rPr>
              <w:t>Subsidiary</w:t>
            </w:r>
          </w:p>
        </w:tc>
        <w:tc>
          <w:tcPr>
            <w:tcW w:w="2410" w:type="dxa"/>
            <w:tcBorders>
              <w:top w:val="single" w:sz="4" w:space="0" w:color="auto"/>
              <w:left w:val="single" w:sz="4" w:space="0" w:color="auto"/>
              <w:bottom w:val="single" w:sz="4" w:space="0" w:color="auto"/>
              <w:right w:val="single" w:sz="4" w:space="0" w:color="auto"/>
            </w:tcBorders>
          </w:tcPr>
          <w:p w:rsidR="00EE1C77" w:rsidRPr="005C3130" w:rsidRDefault="00EE1C77" w:rsidP="00EE1C77">
            <w:pPr>
              <w:jc w:val="center"/>
              <w:rPr>
                <w:rFonts w:cs="Arial"/>
                <w:b/>
                <w:sz w:val="18"/>
                <w:szCs w:val="18"/>
                <w:lang w:val="en-US" w:eastAsia="en-GB"/>
              </w:rPr>
            </w:pPr>
          </w:p>
          <w:p w:rsidR="00EE1C77" w:rsidRPr="005C3130" w:rsidRDefault="00EE1C77" w:rsidP="00EE1C77">
            <w:pPr>
              <w:jc w:val="center"/>
              <w:rPr>
                <w:rFonts w:cs="Arial"/>
                <w:b/>
                <w:sz w:val="18"/>
                <w:szCs w:val="18"/>
                <w:lang w:val="en-US" w:eastAsia="en-GB"/>
              </w:rPr>
            </w:pPr>
            <w:r w:rsidRPr="005C3130">
              <w:rPr>
                <w:rFonts w:eastAsia="Times New Roman" w:cs="Arial"/>
                <w:b/>
                <w:bCs/>
                <w:sz w:val="18"/>
                <w:szCs w:val="18"/>
                <w:lang w:eastAsia="en-GB"/>
              </w:rPr>
              <w:t>×</w:t>
            </w:r>
          </w:p>
        </w:tc>
        <w:tc>
          <w:tcPr>
            <w:tcW w:w="2125" w:type="dxa"/>
            <w:tcBorders>
              <w:top w:val="single" w:sz="4" w:space="0" w:color="auto"/>
              <w:left w:val="single" w:sz="4" w:space="0" w:color="auto"/>
              <w:bottom w:val="single" w:sz="4" w:space="0" w:color="auto"/>
              <w:right w:val="single" w:sz="4" w:space="0" w:color="auto"/>
            </w:tcBorders>
          </w:tcPr>
          <w:p w:rsidR="00EE1C77" w:rsidRPr="005C3130" w:rsidRDefault="00EE1C77" w:rsidP="00EE1C77">
            <w:pPr>
              <w:jc w:val="center"/>
              <w:rPr>
                <w:rFonts w:cs="Arial"/>
                <w:b/>
                <w:sz w:val="18"/>
                <w:szCs w:val="18"/>
              </w:rPr>
            </w:pPr>
          </w:p>
          <w:p w:rsidR="00EE1C77" w:rsidRPr="005C3130" w:rsidRDefault="00EE1C77" w:rsidP="00EE1C77">
            <w:pPr>
              <w:jc w:val="center"/>
              <w:rPr>
                <w:rFonts w:cs="Arial"/>
                <w:b/>
                <w:sz w:val="18"/>
                <w:szCs w:val="18"/>
                <w:lang w:val="en-US" w:eastAsia="en-GB"/>
              </w:rPr>
            </w:pPr>
            <w:r w:rsidRPr="005C3130">
              <w:rPr>
                <w:rFonts w:cs="Arial"/>
                <w:b/>
                <w:sz w:val="18"/>
                <w:szCs w:val="18"/>
              </w:rPr>
              <w:sym w:font="Wingdings" w:char="F0FC"/>
            </w:r>
          </w:p>
        </w:tc>
        <w:tc>
          <w:tcPr>
            <w:tcW w:w="3773" w:type="dxa"/>
            <w:tcBorders>
              <w:top w:val="single" w:sz="4" w:space="0" w:color="auto"/>
              <w:left w:val="single" w:sz="4" w:space="0" w:color="auto"/>
              <w:bottom w:val="single" w:sz="4" w:space="0" w:color="auto"/>
              <w:right w:val="single" w:sz="4" w:space="0" w:color="auto"/>
            </w:tcBorders>
          </w:tcPr>
          <w:p w:rsidR="00EE1C77" w:rsidRPr="005C3130" w:rsidRDefault="00EE1C77" w:rsidP="00EE1C77">
            <w:pPr>
              <w:pStyle w:val="BulletPoint1"/>
              <w:numPr>
                <w:ilvl w:val="0"/>
                <w:numId w:val="0"/>
              </w:numPr>
              <w:tabs>
                <w:tab w:val="clear" w:pos="684"/>
                <w:tab w:val="left" w:pos="720"/>
              </w:tabs>
              <w:ind w:left="458"/>
              <w:jc w:val="center"/>
              <w:rPr>
                <w:rFonts w:cs="Arial"/>
                <w:b/>
                <w:bCs/>
                <w:color w:val="auto"/>
                <w:szCs w:val="18"/>
              </w:rPr>
            </w:pPr>
            <w:r w:rsidRPr="005C3130">
              <w:rPr>
                <w:rFonts w:cs="Arial"/>
                <w:b/>
                <w:szCs w:val="18"/>
              </w:rPr>
              <w:sym w:font="Wingdings" w:char="F0FC"/>
            </w:r>
          </w:p>
        </w:tc>
        <w:tc>
          <w:tcPr>
            <w:tcW w:w="2607" w:type="dxa"/>
            <w:tcBorders>
              <w:top w:val="single" w:sz="4" w:space="0" w:color="auto"/>
              <w:left w:val="single" w:sz="4" w:space="0" w:color="auto"/>
              <w:bottom w:val="single" w:sz="4" w:space="0" w:color="auto"/>
              <w:right w:val="single" w:sz="4" w:space="0" w:color="auto"/>
            </w:tcBorders>
          </w:tcPr>
          <w:p w:rsidR="00EE1C77" w:rsidRPr="00DE302F" w:rsidRDefault="00DE302F" w:rsidP="00EE1C77">
            <w:pPr>
              <w:spacing w:before="240" w:after="260"/>
              <w:jc w:val="center"/>
              <w:rPr>
                <w:rFonts w:cs="Arial"/>
                <w:b/>
                <w:sz w:val="20"/>
                <w:szCs w:val="18"/>
                <w:lang w:val="en-US"/>
              </w:rPr>
            </w:pPr>
            <w:r>
              <w:rPr>
                <w:rFonts w:cs="Arial"/>
                <w:b/>
                <w:sz w:val="20"/>
                <w:szCs w:val="18"/>
                <w:lang w:val="en-US"/>
              </w:rPr>
              <w:t xml:space="preserve">CSSF is yet to publish anything but makes reference to ESMA guidance. </w:t>
            </w:r>
          </w:p>
          <w:p w:rsidR="00EE1C77" w:rsidRPr="005C3130" w:rsidRDefault="00EE1C77" w:rsidP="00EE1C77">
            <w:pPr>
              <w:spacing w:before="240" w:after="260"/>
              <w:jc w:val="center"/>
              <w:rPr>
                <w:rFonts w:cs="Arial"/>
                <w:b/>
                <w:szCs w:val="18"/>
                <w:lang w:val="en-US"/>
              </w:rPr>
            </w:pPr>
          </w:p>
        </w:tc>
      </w:tr>
    </w:tbl>
    <w:p w:rsidR="00676806" w:rsidRPr="005F19DC" w:rsidRDefault="00676806" w:rsidP="000C5A71">
      <w:pPr>
        <w:pStyle w:val="ssPara1"/>
        <w:jc w:val="center"/>
        <w:rPr>
          <w:rFonts w:cs="Arial"/>
          <w:b/>
          <w:sz w:val="18"/>
          <w:szCs w:val="18"/>
        </w:rPr>
      </w:pPr>
    </w:p>
    <w:sectPr w:rsidR="00676806" w:rsidRPr="005F19DC" w:rsidSect="00EF56B9">
      <w:headerReference w:type="even" r:id="rId10"/>
      <w:headerReference w:type="default" r:id="rId11"/>
      <w:footerReference w:type="even" r:id="rId12"/>
      <w:footerReference w:type="default" r:id="rId13"/>
      <w:headerReference w:type="first" r:id="rId14"/>
      <w:footerReference w:type="first" r:id="rId15"/>
      <w:pgSz w:w="23814" w:h="16839" w:orient="landscape" w:code="8"/>
      <w:pgMar w:top="1191" w:right="1418" w:bottom="1191" w:left="567"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695" w:rsidRDefault="00650695">
      <w:r>
        <w:separator/>
      </w:r>
    </w:p>
  </w:endnote>
  <w:endnote w:type="continuationSeparator" w:id="0">
    <w:p w:rsidR="00650695" w:rsidRDefault="0065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5FE" w:rsidRDefault="00415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5FE" w:rsidRDefault="00415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5FE" w:rsidRDefault="0041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695" w:rsidRDefault="00650695">
      <w:r>
        <w:separator/>
      </w:r>
    </w:p>
  </w:footnote>
  <w:footnote w:type="continuationSeparator" w:id="0">
    <w:p w:rsidR="00650695" w:rsidRDefault="00650695">
      <w:r>
        <w:continuationSeparator/>
      </w:r>
    </w:p>
  </w:footnote>
  <w:footnote w:id="1">
    <w:p w:rsidR="00487D14" w:rsidRPr="00EE1C77" w:rsidRDefault="00487D14" w:rsidP="00E30443">
      <w:pPr>
        <w:pStyle w:val="ListParagraph"/>
        <w:spacing w:after="0" w:line="240" w:lineRule="auto"/>
        <w:ind w:left="0"/>
        <w:contextualSpacing w:val="0"/>
        <w:rPr>
          <w:rFonts w:ascii="Arial" w:hAnsi="Arial" w:cs="Arial"/>
          <w:sz w:val="12"/>
          <w:szCs w:val="12"/>
          <w:lang w:eastAsia="en-GB"/>
        </w:rPr>
      </w:pPr>
      <w:r w:rsidRPr="00EE1C77">
        <w:rPr>
          <w:rStyle w:val="FootnoteReference"/>
        </w:rPr>
        <w:footnoteRef/>
      </w:r>
      <w:r w:rsidRPr="00EE1C77">
        <w:t xml:space="preserve"> </w:t>
      </w:r>
      <w:r w:rsidRPr="00EE1C77">
        <w:rPr>
          <w:rFonts w:ascii="Arial" w:hAnsi="Arial" w:cs="Arial"/>
          <w:sz w:val="12"/>
          <w:szCs w:val="12"/>
          <w:lang w:eastAsia="en-GB"/>
        </w:rPr>
        <w:t xml:space="preserve">How will </w:t>
      </w:r>
      <w:proofErr w:type="gramStart"/>
      <w:r w:rsidRPr="00EE1C77">
        <w:rPr>
          <w:rFonts w:ascii="Arial" w:hAnsi="Arial" w:cs="Arial"/>
          <w:sz w:val="12"/>
          <w:szCs w:val="12"/>
          <w:lang w:eastAsia="en-GB"/>
        </w:rPr>
        <w:t>the  ‘</w:t>
      </w:r>
      <w:proofErr w:type="gramEnd"/>
      <w:r w:rsidRPr="00EE1C77">
        <w:rPr>
          <w:rFonts w:ascii="Arial" w:hAnsi="Arial" w:cs="Arial"/>
          <w:sz w:val="12"/>
          <w:szCs w:val="12"/>
          <w:lang w:eastAsia="en-GB"/>
        </w:rPr>
        <w:t xml:space="preserve">reverse initiative’ rules under MiFID2 Art 42 and </w:t>
      </w:r>
      <w:proofErr w:type="spellStart"/>
      <w:r w:rsidRPr="00EE1C77">
        <w:rPr>
          <w:rFonts w:ascii="Arial" w:hAnsi="Arial" w:cs="Arial"/>
          <w:sz w:val="12"/>
          <w:szCs w:val="12"/>
          <w:lang w:eastAsia="en-GB"/>
        </w:rPr>
        <w:t>MiFIR</w:t>
      </w:r>
      <w:proofErr w:type="spellEnd"/>
      <w:r w:rsidRPr="00EE1C77">
        <w:rPr>
          <w:rFonts w:ascii="Arial" w:hAnsi="Arial" w:cs="Arial"/>
          <w:sz w:val="12"/>
          <w:szCs w:val="12"/>
          <w:lang w:eastAsia="en-GB"/>
        </w:rPr>
        <w:t xml:space="preserve"> Art 46(5) be interpreted – whereby a third country firm can provide investment services/activities to an EU client without registration or authorisation, as long as the client has initiated the service at its ‘own exclusive initiative’?</w:t>
      </w:r>
    </w:p>
    <w:p w:rsidR="00487D14" w:rsidRPr="00EE1C77" w:rsidRDefault="00487D14" w:rsidP="00E30443">
      <w:pPr>
        <w:pStyle w:val="FootnoteText"/>
        <w:rPr>
          <w:sz w:val="12"/>
          <w:szCs w:val="12"/>
        </w:rPr>
      </w:pPr>
    </w:p>
  </w:footnote>
  <w:footnote w:id="2">
    <w:p w:rsidR="0076683B" w:rsidRPr="0076683B" w:rsidRDefault="0076683B">
      <w:pPr>
        <w:pStyle w:val="FootnoteText"/>
        <w:rPr>
          <w:sz w:val="12"/>
          <w:szCs w:val="12"/>
        </w:rPr>
      </w:pPr>
      <w:r w:rsidRPr="00EE1C77">
        <w:rPr>
          <w:rStyle w:val="FootnoteReference"/>
          <w:sz w:val="12"/>
          <w:szCs w:val="12"/>
        </w:rPr>
        <w:footnoteRef/>
      </w:r>
      <w:r w:rsidRPr="00EE1C77">
        <w:rPr>
          <w:sz w:val="12"/>
          <w:szCs w:val="12"/>
        </w:rPr>
        <w:t xml:space="preserve"> </w:t>
      </w:r>
      <w:r w:rsidRPr="00EE1C77">
        <w:rPr>
          <w:rFonts w:cs="Arial"/>
          <w:sz w:val="12"/>
          <w:szCs w:val="12"/>
          <w:lang w:val="en-US"/>
        </w:rPr>
        <w:t>The recognition of reverse enquiry for investment services follows from the implementation of MiFID2.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5FE" w:rsidRDefault="00415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DDB" w:rsidRDefault="00780DDB" w:rsidP="00780DDB">
    <w:pPr>
      <w:pStyle w:val="ssPara1"/>
      <w:jc w:val="right"/>
      <w:rPr>
        <w:rFonts w:cs="Arial"/>
        <w:b/>
        <w:sz w:val="24"/>
        <w:szCs w:val="24"/>
      </w:rPr>
    </w:pPr>
    <w:r w:rsidRPr="008579E2">
      <w:rPr>
        <w:noProof/>
        <w:lang w:eastAsia="en-GB"/>
      </w:rPr>
      <w:drawing>
        <wp:anchor distT="0" distB="0" distL="114300" distR="114300" simplePos="0" relativeHeight="251658240" behindDoc="0" locked="0" layoutInCell="1" allowOverlap="1" wp14:anchorId="70AD729B" wp14:editId="49129F1E">
          <wp:simplePos x="0" y="0"/>
          <wp:positionH relativeFrom="column">
            <wp:posOffset>11357610</wp:posOffset>
          </wp:positionH>
          <wp:positionV relativeFrom="paragraph">
            <wp:posOffset>-177165</wp:posOffset>
          </wp:positionV>
          <wp:extent cx="2501900" cy="608330"/>
          <wp:effectExtent l="0" t="0" r="0" b="127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60833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247D92" w:rsidRDefault="00EE72B8" w:rsidP="00780DDB">
    <w:pPr>
      <w:pStyle w:val="ssPara1"/>
      <w:jc w:val="left"/>
    </w:pPr>
    <w:r>
      <w:rPr>
        <w:rFonts w:cs="Arial"/>
        <w:b/>
        <w:sz w:val="24"/>
        <w:szCs w:val="24"/>
      </w:rPr>
      <w:t xml:space="preserve">Third Country Status </w:t>
    </w:r>
    <w:r w:rsidR="0076367B">
      <w:rPr>
        <w:rFonts w:cs="Arial"/>
        <w:b/>
        <w:sz w:val="24"/>
        <w:szCs w:val="24"/>
      </w:rPr>
      <w:t>Checklist</w:t>
    </w:r>
    <w:r>
      <w:rPr>
        <w:rFonts w:cs="Arial"/>
        <w:b/>
        <w:sz w:val="24"/>
        <w:szCs w:val="24"/>
      </w:rPr>
      <w:t xml:space="preserve"> </w:t>
    </w:r>
    <w:r w:rsidR="00247D92">
      <w:rPr>
        <w:rFonts w:cs="Arial"/>
        <w:b/>
        <w:sz w:val="24"/>
        <w:szCs w:val="24"/>
      </w:rPr>
      <w:t xml:space="preserve"> </w:t>
    </w:r>
    <w:r w:rsidR="00247D92">
      <w:rPr>
        <w:rFonts w:cs="Arial"/>
        <w:b/>
        <w:sz w:val="24"/>
        <w:szCs w:val="24"/>
      </w:rPr>
      <w:tab/>
    </w:r>
    <w:r w:rsidR="00247D92">
      <w:rPr>
        <w:rFonts w:cs="Arial"/>
        <w:b/>
        <w:sz w:val="24"/>
        <w:szCs w:val="24"/>
      </w:rPr>
      <w:tab/>
    </w:r>
    <w:r w:rsidR="00423B73">
      <w:rPr>
        <w:rFonts w:cs="Arial"/>
        <w:b/>
        <w:sz w:val="24"/>
        <w:szCs w:val="24"/>
      </w:rPr>
      <w:br/>
    </w:r>
    <w:r w:rsidR="004155FE">
      <w:rPr>
        <w:rFonts w:cs="Arial"/>
        <w:b/>
        <w:sz w:val="24"/>
        <w:szCs w:val="24"/>
      </w:rPr>
      <w:t>November</w:t>
    </w:r>
    <w:r w:rsidR="0099061D">
      <w:rPr>
        <w:rFonts w:cs="Arial"/>
        <w:b/>
        <w:sz w:val="24"/>
        <w:szCs w:val="24"/>
      </w:rPr>
      <w:t xml:space="preserve"> 201</w:t>
    </w:r>
    <w:r w:rsidR="00294DF3">
      <w:rPr>
        <w:rFonts w:cs="Arial"/>
        <w:b/>
        <w:sz w:val="24"/>
        <w:szCs w:val="24"/>
      </w:rPr>
      <w:t>9</w:t>
    </w:r>
    <w:r w:rsidR="00247D92">
      <w:rPr>
        <w:rFonts w:cs="Arial"/>
        <w:b/>
        <w:sz w:val="24"/>
        <w:szCs w:val="24"/>
      </w:rPr>
      <w:tab/>
    </w:r>
    <w:r w:rsidR="00247D92">
      <w:rPr>
        <w:rFonts w:cs="Arial"/>
        <w:b/>
        <w:sz w:val="24"/>
        <w:szCs w:val="24"/>
      </w:rPr>
      <w:tab/>
    </w:r>
    <w:r w:rsidR="00247D92">
      <w:rPr>
        <w:rFonts w:cs="Arial"/>
        <w:b/>
        <w:sz w:val="24"/>
        <w:szCs w:val="24"/>
      </w:rPr>
      <w:tab/>
    </w:r>
    <w:r w:rsidR="00247D92">
      <w:rPr>
        <w:rFonts w:cs="Arial"/>
        <w:b/>
        <w:sz w:val="24"/>
        <w:szCs w:val="24"/>
      </w:rPr>
      <w:tab/>
    </w:r>
    <w:r w:rsidR="00247D92">
      <w:rPr>
        <w:rFonts w:cs="Arial"/>
        <w:b/>
        <w:sz w:val="24"/>
        <w:szCs w:val="24"/>
      </w:rPr>
      <w:tab/>
    </w:r>
    <w:r w:rsidR="00247D92">
      <w:rPr>
        <w:rFonts w:cs="Arial"/>
        <w:b/>
        <w:sz w:val="24"/>
        <w:szCs w:val="24"/>
      </w:rPr>
      <w:tab/>
    </w:r>
    <w:r w:rsidR="00247D92">
      <w:rPr>
        <w:rFonts w:cs="Arial"/>
        <w:b/>
        <w:sz w:val="24"/>
        <w:szCs w:val="24"/>
      </w:rPr>
      <w:tab/>
    </w:r>
    <w:r w:rsidR="00247D92">
      <w:rPr>
        <w:rFonts w:cs="Arial"/>
        <w:b/>
        <w:sz w:val="24"/>
        <w:szCs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5FE" w:rsidRDefault="00415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9B177C"/>
    <w:multiLevelType w:val="multilevel"/>
    <w:tmpl w:val="E7229E7C"/>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A4495E"/>
    <w:multiLevelType w:val="multilevel"/>
    <w:tmpl w:val="54D02D98"/>
    <w:styleLink w:val="PartNumbering"/>
    <w:lvl w:ilvl="0">
      <w:start w:val="1"/>
      <w:numFmt w:val="none"/>
      <w:suff w:val="nothing"/>
      <w:lvlText w:val=""/>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6A3223"/>
    <w:multiLevelType w:val="multilevel"/>
    <w:tmpl w:val="C8D6362C"/>
    <w:styleLink w:val="ListHeadings"/>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81940"/>
    <w:multiLevelType w:val="multilevel"/>
    <w:tmpl w:val="71CADD9C"/>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8084336"/>
    <w:multiLevelType w:val="hybridMultilevel"/>
    <w:tmpl w:val="31005E28"/>
    <w:lvl w:ilvl="0" w:tplc="E7F2DB0E">
      <w:start w:val="1"/>
      <w:numFmt w:val="bullet"/>
      <w:lvlText w:val=""/>
      <w:lvlJc w:val="left"/>
      <w:pPr>
        <w:ind w:left="720" w:hanging="360"/>
      </w:pPr>
      <w:rPr>
        <w:rFonts w:ascii="Symbol" w:hAnsi="Symbol" w:hint="default"/>
        <w:color w:val="6988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9937EB3"/>
    <w:multiLevelType w:val="multilevel"/>
    <w:tmpl w:val="1130A0CA"/>
    <w:styleLink w:val="SectionNumbering"/>
    <w:lvl w:ilvl="0">
      <w:start w:val="1"/>
      <w:numFmt w:val="none"/>
      <w:suff w:val="nothing"/>
      <w:lvlText w:val="%1"/>
      <w:lvlJc w:val="left"/>
      <w:pPr>
        <w:ind w:left="0" w:firstLine="0"/>
      </w:pPr>
      <w:rPr>
        <w:rFonts w:hint="default"/>
      </w:rPr>
    </w:lvl>
    <w:lvl w:ilvl="1">
      <w:start w:val="1"/>
      <w:numFmt w:val="decimal"/>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CA2788"/>
    <w:multiLevelType w:val="hybridMultilevel"/>
    <w:tmpl w:val="781C4422"/>
    <w:lvl w:ilvl="0" w:tplc="E7F2DB0E">
      <w:start w:val="1"/>
      <w:numFmt w:val="bullet"/>
      <w:lvlText w:val=""/>
      <w:lvlJc w:val="left"/>
      <w:pPr>
        <w:ind w:left="720" w:hanging="360"/>
      </w:pPr>
      <w:rPr>
        <w:rFonts w:ascii="Symbol" w:hAnsi="Symbol" w:hint="default"/>
        <w:color w:val="6988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E539F"/>
    <w:multiLevelType w:val="multilevel"/>
    <w:tmpl w:val="71CADD9C"/>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E24688"/>
    <w:multiLevelType w:val="hybridMultilevel"/>
    <w:tmpl w:val="E586D2D4"/>
    <w:lvl w:ilvl="0" w:tplc="D366A95C">
      <w:start w:val="1"/>
      <w:numFmt w:val="bullet"/>
      <w:pStyle w:val="BulletPoint1"/>
      <w:lvlText w:val=""/>
      <w:lvlJc w:val="left"/>
      <w:pPr>
        <w:ind w:left="720" w:hanging="360"/>
      </w:pPr>
      <w:rPr>
        <w:rFonts w:ascii="Wingdings 2" w:hAnsi="Wingdings 2" w:hint="default"/>
        <w:color w:val="6988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96F19CC"/>
    <w:multiLevelType w:val="hybridMultilevel"/>
    <w:tmpl w:val="D7AC5FCA"/>
    <w:lvl w:ilvl="0" w:tplc="9A0C6BBE">
      <w:start w:val="1"/>
      <w:numFmt w:val="bullet"/>
      <w:pStyle w:val="BulletPoint3"/>
      <w:lvlText w:val=""/>
      <w:lvlJc w:val="left"/>
      <w:pPr>
        <w:ind w:left="2160" w:hanging="360"/>
      </w:pPr>
      <w:rPr>
        <w:rFonts w:ascii="Wingdings" w:hAnsi="Wingdings" w:hint="default"/>
        <w:color w:val="69889A"/>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19" w15:restartNumberingAfterBreak="0">
    <w:nsid w:val="7677136B"/>
    <w:multiLevelType w:val="hybridMultilevel"/>
    <w:tmpl w:val="017652D8"/>
    <w:lvl w:ilvl="0" w:tplc="6D12C1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5B60DA"/>
    <w:multiLevelType w:val="hybridMultilevel"/>
    <w:tmpl w:val="BD54D80E"/>
    <w:lvl w:ilvl="0" w:tplc="8F96D96E">
      <w:start w:val="2"/>
      <w:numFmt w:val="bullet"/>
      <w:pStyle w:val="BulletPoint2"/>
      <w:lvlText w:val="-"/>
      <w:lvlJc w:val="left"/>
      <w:pPr>
        <w:ind w:left="757" w:hanging="360"/>
      </w:pPr>
      <w:rPr>
        <w:rFonts w:ascii="Arial" w:hAnsi="Arial" w:hint="default"/>
        <w:b/>
        <w:i w:val="0"/>
        <w:color w:val="69889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0"/>
  </w:num>
  <w:num w:numId="4">
    <w:abstractNumId w:val="10"/>
  </w:num>
  <w:num w:numId="5">
    <w:abstractNumId w:val="8"/>
  </w:num>
  <w:num w:numId="6">
    <w:abstractNumId w:val="3"/>
  </w:num>
  <w:num w:numId="7">
    <w:abstractNumId w:val="14"/>
  </w:num>
  <w:num w:numId="8">
    <w:abstractNumId w:val="4"/>
  </w:num>
  <w:num w:numId="9">
    <w:abstractNumId w:val="17"/>
  </w:num>
  <w:num w:numId="10">
    <w:abstractNumId w:val="12"/>
  </w:num>
  <w:num w:numId="11">
    <w:abstractNumId w:val="20"/>
  </w:num>
  <w:num w:numId="12">
    <w:abstractNumId w:val="2"/>
  </w:num>
  <w:num w:numId="13">
    <w:abstractNumId w:val="9"/>
  </w:num>
  <w:num w:numId="14">
    <w:abstractNumId w:val="15"/>
  </w:num>
  <w:num w:numId="15">
    <w:abstractNumId w:val="13"/>
  </w:num>
  <w:num w:numId="16">
    <w:abstractNumId w:val="15"/>
    <w:lvlOverride w:ilvl="0">
      <w:startOverride w:val="1"/>
    </w:lvlOverride>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6"/>
  </w:num>
  <w:num w:numId="30">
    <w:abstractNumId w:val="19"/>
  </w:num>
  <w:num w:numId="31">
    <w:abstractNumId w:val="1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TMS_CultureID" w:val="English-UK"/>
    <w:docVar w:name="TMS_OfficeID" w:val="London"/>
    <w:docVar w:name="TMS_TEMPLATE_ID" w:val="General"/>
  </w:docVars>
  <w:rsids>
    <w:rsidRoot w:val="005B5854"/>
    <w:rsid w:val="00006B05"/>
    <w:rsid w:val="0001136C"/>
    <w:rsid w:val="000346CB"/>
    <w:rsid w:val="0003545D"/>
    <w:rsid w:val="00044E5C"/>
    <w:rsid w:val="00050C92"/>
    <w:rsid w:val="000510FA"/>
    <w:rsid w:val="00053F24"/>
    <w:rsid w:val="00064257"/>
    <w:rsid w:val="00064986"/>
    <w:rsid w:val="00071B28"/>
    <w:rsid w:val="0008612F"/>
    <w:rsid w:val="000919F3"/>
    <w:rsid w:val="000A5A92"/>
    <w:rsid w:val="000B09BF"/>
    <w:rsid w:val="000B1390"/>
    <w:rsid w:val="000B301D"/>
    <w:rsid w:val="000B60A1"/>
    <w:rsid w:val="000C4D80"/>
    <w:rsid w:val="000C5A71"/>
    <w:rsid w:val="000E2AC0"/>
    <w:rsid w:val="000E6EFB"/>
    <w:rsid w:val="000F2C35"/>
    <w:rsid w:val="00100CE2"/>
    <w:rsid w:val="00101241"/>
    <w:rsid w:val="001060FD"/>
    <w:rsid w:val="0010734E"/>
    <w:rsid w:val="001138DB"/>
    <w:rsid w:val="00114DC0"/>
    <w:rsid w:val="00116673"/>
    <w:rsid w:val="00116C4D"/>
    <w:rsid w:val="00122278"/>
    <w:rsid w:val="0012337C"/>
    <w:rsid w:val="00123B0D"/>
    <w:rsid w:val="00134261"/>
    <w:rsid w:val="00135677"/>
    <w:rsid w:val="00143322"/>
    <w:rsid w:val="00143896"/>
    <w:rsid w:val="00146606"/>
    <w:rsid w:val="001473E5"/>
    <w:rsid w:val="00150A26"/>
    <w:rsid w:val="001570C6"/>
    <w:rsid w:val="00163379"/>
    <w:rsid w:val="00176254"/>
    <w:rsid w:val="00185278"/>
    <w:rsid w:val="00191C60"/>
    <w:rsid w:val="00193306"/>
    <w:rsid w:val="00194B5A"/>
    <w:rsid w:val="001951FC"/>
    <w:rsid w:val="00196557"/>
    <w:rsid w:val="001A6825"/>
    <w:rsid w:val="001B24BC"/>
    <w:rsid w:val="001B4481"/>
    <w:rsid w:val="001C19D7"/>
    <w:rsid w:val="001C53B2"/>
    <w:rsid w:val="001D4C59"/>
    <w:rsid w:val="001F17BC"/>
    <w:rsid w:val="001F23B2"/>
    <w:rsid w:val="001F5A5F"/>
    <w:rsid w:val="001F5DDD"/>
    <w:rsid w:val="00202B9B"/>
    <w:rsid w:val="00202F64"/>
    <w:rsid w:val="00206333"/>
    <w:rsid w:val="002068C6"/>
    <w:rsid w:val="002075EA"/>
    <w:rsid w:val="00213BF5"/>
    <w:rsid w:val="002145F3"/>
    <w:rsid w:val="00215132"/>
    <w:rsid w:val="002172F2"/>
    <w:rsid w:val="002208F4"/>
    <w:rsid w:val="002239DA"/>
    <w:rsid w:val="00225640"/>
    <w:rsid w:val="002366C3"/>
    <w:rsid w:val="002374BC"/>
    <w:rsid w:val="0024109A"/>
    <w:rsid w:val="00241C81"/>
    <w:rsid w:val="00242058"/>
    <w:rsid w:val="0024268B"/>
    <w:rsid w:val="00243721"/>
    <w:rsid w:val="00246601"/>
    <w:rsid w:val="00247D92"/>
    <w:rsid w:val="00250869"/>
    <w:rsid w:val="002547B3"/>
    <w:rsid w:val="00256039"/>
    <w:rsid w:val="00256FB0"/>
    <w:rsid w:val="00260099"/>
    <w:rsid w:val="0026169E"/>
    <w:rsid w:val="00263BBD"/>
    <w:rsid w:val="00264165"/>
    <w:rsid w:val="00266EB7"/>
    <w:rsid w:val="002700AA"/>
    <w:rsid w:val="00290310"/>
    <w:rsid w:val="0029088B"/>
    <w:rsid w:val="00294DF3"/>
    <w:rsid w:val="002A080A"/>
    <w:rsid w:val="002A0E76"/>
    <w:rsid w:val="002A6353"/>
    <w:rsid w:val="002B23DE"/>
    <w:rsid w:val="002B301D"/>
    <w:rsid w:val="002B5FC9"/>
    <w:rsid w:val="002C0AB1"/>
    <w:rsid w:val="002C5C06"/>
    <w:rsid w:val="002D03AC"/>
    <w:rsid w:val="002D12DB"/>
    <w:rsid w:val="002D3FAF"/>
    <w:rsid w:val="002E587B"/>
    <w:rsid w:val="002F58BF"/>
    <w:rsid w:val="002F6988"/>
    <w:rsid w:val="0030487D"/>
    <w:rsid w:val="00304A35"/>
    <w:rsid w:val="00306452"/>
    <w:rsid w:val="0031124C"/>
    <w:rsid w:val="00311EE6"/>
    <w:rsid w:val="003162B0"/>
    <w:rsid w:val="00327081"/>
    <w:rsid w:val="00335E77"/>
    <w:rsid w:val="00343673"/>
    <w:rsid w:val="003439E8"/>
    <w:rsid w:val="00343E90"/>
    <w:rsid w:val="00351FC6"/>
    <w:rsid w:val="00362631"/>
    <w:rsid w:val="00373FD4"/>
    <w:rsid w:val="0039690A"/>
    <w:rsid w:val="00396CED"/>
    <w:rsid w:val="003B0C4F"/>
    <w:rsid w:val="003B0C5A"/>
    <w:rsid w:val="003C06EC"/>
    <w:rsid w:val="003C0BCD"/>
    <w:rsid w:val="003C6414"/>
    <w:rsid w:val="003D7460"/>
    <w:rsid w:val="003E3277"/>
    <w:rsid w:val="003F7996"/>
    <w:rsid w:val="0040048C"/>
    <w:rsid w:val="00406206"/>
    <w:rsid w:val="004078CF"/>
    <w:rsid w:val="00414ED0"/>
    <w:rsid w:val="004155FE"/>
    <w:rsid w:val="00423B73"/>
    <w:rsid w:val="004357E6"/>
    <w:rsid w:val="0043630B"/>
    <w:rsid w:val="004372A7"/>
    <w:rsid w:val="0044045B"/>
    <w:rsid w:val="00453328"/>
    <w:rsid w:val="004535AB"/>
    <w:rsid w:val="00453EBE"/>
    <w:rsid w:val="00455A1A"/>
    <w:rsid w:val="00457D8D"/>
    <w:rsid w:val="00457E41"/>
    <w:rsid w:val="004639C6"/>
    <w:rsid w:val="00465953"/>
    <w:rsid w:val="00465A4A"/>
    <w:rsid w:val="00470B1E"/>
    <w:rsid w:val="0047146D"/>
    <w:rsid w:val="00473AF9"/>
    <w:rsid w:val="00475E7B"/>
    <w:rsid w:val="0048156D"/>
    <w:rsid w:val="00482034"/>
    <w:rsid w:val="004860AF"/>
    <w:rsid w:val="00487D14"/>
    <w:rsid w:val="004928A1"/>
    <w:rsid w:val="00493ADC"/>
    <w:rsid w:val="00494C5E"/>
    <w:rsid w:val="0049580A"/>
    <w:rsid w:val="004A1D35"/>
    <w:rsid w:val="004A360E"/>
    <w:rsid w:val="004A6313"/>
    <w:rsid w:val="004C6067"/>
    <w:rsid w:val="004D1A45"/>
    <w:rsid w:val="004D2084"/>
    <w:rsid w:val="004D3468"/>
    <w:rsid w:val="004D584D"/>
    <w:rsid w:val="004D760D"/>
    <w:rsid w:val="004D78CD"/>
    <w:rsid w:val="004E3311"/>
    <w:rsid w:val="004E3F51"/>
    <w:rsid w:val="004F1D13"/>
    <w:rsid w:val="005004C3"/>
    <w:rsid w:val="0050793D"/>
    <w:rsid w:val="0052484E"/>
    <w:rsid w:val="00525037"/>
    <w:rsid w:val="005254D2"/>
    <w:rsid w:val="0052737F"/>
    <w:rsid w:val="00556C2B"/>
    <w:rsid w:val="00556FCC"/>
    <w:rsid w:val="00560C34"/>
    <w:rsid w:val="00566B4A"/>
    <w:rsid w:val="005704C7"/>
    <w:rsid w:val="005720C0"/>
    <w:rsid w:val="0057682B"/>
    <w:rsid w:val="0058393B"/>
    <w:rsid w:val="00595373"/>
    <w:rsid w:val="005974F9"/>
    <w:rsid w:val="005B427D"/>
    <w:rsid w:val="005B5854"/>
    <w:rsid w:val="005C0DE4"/>
    <w:rsid w:val="005C3130"/>
    <w:rsid w:val="005C4570"/>
    <w:rsid w:val="005D6CD4"/>
    <w:rsid w:val="005E2CCA"/>
    <w:rsid w:val="005E5BC8"/>
    <w:rsid w:val="005E7A45"/>
    <w:rsid w:val="005F19DC"/>
    <w:rsid w:val="005F78DC"/>
    <w:rsid w:val="005F7CC2"/>
    <w:rsid w:val="00600524"/>
    <w:rsid w:val="006022C2"/>
    <w:rsid w:val="00614675"/>
    <w:rsid w:val="00617724"/>
    <w:rsid w:val="00621817"/>
    <w:rsid w:val="00624278"/>
    <w:rsid w:val="006330D1"/>
    <w:rsid w:val="00650695"/>
    <w:rsid w:val="00653CE6"/>
    <w:rsid w:val="006607CE"/>
    <w:rsid w:val="00665498"/>
    <w:rsid w:val="00665A99"/>
    <w:rsid w:val="00674045"/>
    <w:rsid w:val="00676806"/>
    <w:rsid w:val="0069011E"/>
    <w:rsid w:val="006903A5"/>
    <w:rsid w:val="006949E3"/>
    <w:rsid w:val="00697EEE"/>
    <w:rsid w:val="006A2ADD"/>
    <w:rsid w:val="006B7B22"/>
    <w:rsid w:val="006D01F6"/>
    <w:rsid w:val="006E0DC1"/>
    <w:rsid w:val="006E3A87"/>
    <w:rsid w:val="006E4E77"/>
    <w:rsid w:val="006E694C"/>
    <w:rsid w:val="006F3BC4"/>
    <w:rsid w:val="006F7870"/>
    <w:rsid w:val="00703EDF"/>
    <w:rsid w:val="0071439C"/>
    <w:rsid w:val="007163AC"/>
    <w:rsid w:val="0072141D"/>
    <w:rsid w:val="0072322D"/>
    <w:rsid w:val="00724DEA"/>
    <w:rsid w:val="00726AEF"/>
    <w:rsid w:val="00732881"/>
    <w:rsid w:val="0073359A"/>
    <w:rsid w:val="007344D2"/>
    <w:rsid w:val="00740305"/>
    <w:rsid w:val="00761BF6"/>
    <w:rsid w:val="00762C8B"/>
    <w:rsid w:val="0076367B"/>
    <w:rsid w:val="0076683B"/>
    <w:rsid w:val="00780DDB"/>
    <w:rsid w:val="0078721B"/>
    <w:rsid w:val="00793E32"/>
    <w:rsid w:val="00794475"/>
    <w:rsid w:val="007A05BF"/>
    <w:rsid w:val="007A2297"/>
    <w:rsid w:val="007A33BD"/>
    <w:rsid w:val="007A71A3"/>
    <w:rsid w:val="007B315B"/>
    <w:rsid w:val="007B646A"/>
    <w:rsid w:val="007B6ED8"/>
    <w:rsid w:val="007C726F"/>
    <w:rsid w:val="007D6E17"/>
    <w:rsid w:val="007E0C30"/>
    <w:rsid w:val="007E7D9E"/>
    <w:rsid w:val="007F309E"/>
    <w:rsid w:val="008121E5"/>
    <w:rsid w:val="0081567C"/>
    <w:rsid w:val="00825834"/>
    <w:rsid w:val="008311E3"/>
    <w:rsid w:val="00832741"/>
    <w:rsid w:val="008337D1"/>
    <w:rsid w:val="00834417"/>
    <w:rsid w:val="008353F9"/>
    <w:rsid w:val="00837D05"/>
    <w:rsid w:val="008422F7"/>
    <w:rsid w:val="00842A5B"/>
    <w:rsid w:val="00851935"/>
    <w:rsid w:val="008579E2"/>
    <w:rsid w:val="00861508"/>
    <w:rsid w:val="00863244"/>
    <w:rsid w:val="00863D36"/>
    <w:rsid w:val="00864AFE"/>
    <w:rsid w:val="00873A45"/>
    <w:rsid w:val="0087606F"/>
    <w:rsid w:val="00884FD0"/>
    <w:rsid w:val="00887721"/>
    <w:rsid w:val="00896228"/>
    <w:rsid w:val="008A0ADF"/>
    <w:rsid w:val="008A18DC"/>
    <w:rsid w:val="008A3FF3"/>
    <w:rsid w:val="008B2F4C"/>
    <w:rsid w:val="008B5126"/>
    <w:rsid w:val="008C0FC8"/>
    <w:rsid w:val="008C354E"/>
    <w:rsid w:val="008C5D11"/>
    <w:rsid w:val="008D449A"/>
    <w:rsid w:val="008D4B24"/>
    <w:rsid w:val="008E2CB9"/>
    <w:rsid w:val="008E2E65"/>
    <w:rsid w:val="008E4B4E"/>
    <w:rsid w:val="008E6774"/>
    <w:rsid w:val="008F265A"/>
    <w:rsid w:val="008F46B3"/>
    <w:rsid w:val="008F754A"/>
    <w:rsid w:val="00903624"/>
    <w:rsid w:val="009053D4"/>
    <w:rsid w:val="009067F0"/>
    <w:rsid w:val="0092227B"/>
    <w:rsid w:val="00923465"/>
    <w:rsid w:val="00942370"/>
    <w:rsid w:val="00951F4F"/>
    <w:rsid w:val="009535FA"/>
    <w:rsid w:val="0095556E"/>
    <w:rsid w:val="0095709F"/>
    <w:rsid w:val="009609F0"/>
    <w:rsid w:val="00981366"/>
    <w:rsid w:val="0099061D"/>
    <w:rsid w:val="009929FC"/>
    <w:rsid w:val="00995EE0"/>
    <w:rsid w:val="00997E9C"/>
    <w:rsid w:val="009A00DC"/>
    <w:rsid w:val="009A194F"/>
    <w:rsid w:val="009A598C"/>
    <w:rsid w:val="009B631B"/>
    <w:rsid w:val="009B6D9A"/>
    <w:rsid w:val="009D4EB0"/>
    <w:rsid w:val="009E05DF"/>
    <w:rsid w:val="009F102B"/>
    <w:rsid w:val="009F1331"/>
    <w:rsid w:val="009F39F3"/>
    <w:rsid w:val="009F5210"/>
    <w:rsid w:val="00A01DB8"/>
    <w:rsid w:val="00A0377A"/>
    <w:rsid w:val="00A14439"/>
    <w:rsid w:val="00A41076"/>
    <w:rsid w:val="00A65912"/>
    <w:rsid w:val="00A6735B"/>
    <w:rsid w:val="00A72C2B"/>
    <w:rsid w:val="00A74E44"/>
    <w:rsid w:val="00A84108"/>
    <w:rsid w:val="00A87ADC"/>
    <w:rsid w:val="00A90284"/>
    <w:rsid w:val="00AA13C0"/>
    <w:rsid w:val="00AA22C1"/>
    <w:rsid w:val="00AA252D"/>
    <w:rsid w:val="00AA7554"/>
    <w:rsid w:val="00AB6016"/>
    <w:rsid w:val="00AB79D9"/>
    <w:rsid w:val="00AC6BE3"/>
    <w:rsid w:val="00AC7C9C"/>
    <w:rsid w:val="00AD5192"/>
    <w:rsid w:val="00AE308A"/>
    <w:rsid w:val="00AF143E"/>
    <w:rsid w:val="00AF352E"/>
    <w:rsid w:val="00AF572D"/>
    <w:rsid w:val="00B00EC2"/>
    <w:rsid w:val="00B04590"/>
    <w:rsid w:val="00B0690C"/>
    <w:rsid w:val="00B137F1"/>
    <w:rsid w:val="00B146A1"/>
    <w:rsid w:val="00B147B4"/>
    <w:rsid w:val="00B22A7E"/>
    <w:rsid w:val="00B249F9"/>
    <w:rsid w:val="00B25E0D"/>
    <w:rsid w:val="00B277BD"/>
    <w:rsid w:val="00B31702"/>
    <w:rsid w:val="00B31F8B"/>
    <w:rsid w:val="00B3755D"/>
    <w:rsid w:val="00B41F70"/>
    <w:rsid w:val="00B53B05"/>
    <w:rsid w:val="00B551E1"/>
    <w:rsid w:val="00B66D39"/>
    <w:rsid w:val="00B703CE"/>
    <w:rsid w:val="00B7240D"/>
    <w:rsid w:val="00B75A66"/>
    <w:rsid w:val="00B87789"/>
    <w:rsid w:val="00BA37E0"/>
    <w:rsid w:val="00BB574D"/>
    <w:rsid w:val="00BC0C43"/>
    <w:rsid w:val="00BC3D5A"/>
    <w:rsid w:val="00BD2169"/>
    <w:rsid w:val="00BE303E"/>
    <w:rsid w:val="00BE367E"/>
    <w:rsid w:val="00BE59BB"/>
    <w:rsid w:val="00BE635D"/>
    <w:rsid w:val="00BE793E"/>
    <w:rsid w:val="00BE7E17"/>
    <w:rsid w:val="00BF27CD"/>
    <w:rsid w:val="00BF2CD9"/>
    <w:rsid w:val="00BF6C80"/>
    <w:rsid w:val="00C13951"/>
    <w:rsid w:val="00C20FF6"/>
    <w:rsid w:val="00C220BD"/>
    <w:rsid w:val="00C22126"/>
    <w:rsid w:val="00C246B8"/>
    <w:rsid w:val="00C27A61"/>
    <w:rsid w:val="00C3065F"/>
    <w:rsid w:val="00C31756"/>
    <w:rsid w:val="00C45AC9"/>
    <w:rsid w:val="00C5022C"/>
    <w:rsid w:val="00C6021A"/>
    <w:rsid w:val="00C6221D"/>
    <w:rsid w:val="00C62B75"/>
    <w:rsid w:val="00C72A2B"/>
    <w:rsid w:val="00C90DEC"/>
    <w:rsid w:val="00C915F0"/>
    <w:rsid w:val="00C9792F"/>
    <w:rsid w:val="00CA0657"/>
    <w:rsid w:val="00CC0E53"/>
    <w:rsid w:val="00CC489F"/>
    <w:rsid w:val="00CD2DD3"/>
    <w:rsid w:val="00CD441C"/>
    <w:rsid w:val="00CD4CC4"/>
    <w:rsid w:val="00CD6467"/>
    <w:rsid w:val="00CE1BCD"/>
    <w:rsid w:val="00CE3974"/>
    <w:rsid w:val="00CE4CEE"/>
    <w:rsid w:val="00CE51D9"/>
    <w:rsid w:val="00CF53C5"/>
    <w:rsid w:val="00D02D00"/>
    <w:rsid w:val="00D0351E"/>
    <w:rsid w:val="00D042EF"/>
    <w:rsid w:val="00D0683D"/>
    <w:rsid w:val="00D10B49"/>
    <w:rsid w:val="00D13CDB"/>
    <w:rsid w:val="00D159E6"/>
    <w:rsid w:val="00D16FB2"/>
    <w:rsid w:val="00D2677F"/>
    <w:rsid w:val="00D307B8"/>
    <w:rsid w:val="00D31F68"/>
    <w:rsid w:val="00D44C02"/>
    <w:rsid w:val="00D44FEF"/>
    <w:rsid w:val="00D47AC5"/>
    <w:rsid w:val="00D609EA"/>
    <w:rsid w:val="00D60D03"/>
    <w:rsid w:val="00D70773"/>
    <w:rsid w:val="00D7784B"/>
    <w:rsid w:val="00D77932"/>
    <w:rsid w:val="00D8197C"/>
    <w:rsid w:val="00D83A55"/>
    <w:rsid w:val="00D87CAA"/>
    <w:rsid w:val="00DA1006"/>
    <w:rsid w:val="00DB43F0"/>
    <w:rsid w:val="00DC35AD"/>
    <w:rsid w:val="00DC664D"/>
    <w:rsid w:val="00DC757C"/>
    <w:rsid w:val="00DE302F"/>
    <w:rsid w:val="00DE4ACA"/>
    <w:rsid w:val="00DE6477"/>
    <w:rsid w:val="00DF6A29"/>
    <w:rsid w:val="00E00813"/>
    <w:rsid w:val="00E00DEE"/>
    <w:rsid w:val="00E147B9"/>
    <w:rsid w:val="00E14A65"/>
    <w:rsid w:val="00E16E2B"/>
    <w:rsid w:val="00E23D22"/>
    <w:rsid w:val="00E30443"/>
    <w:rsid w:val="00E42BF8"/>
    <w:rsid w:val="00E51D18"/>
    <w:rsid w:val="00E6246F"/>
    <w:rsid w:val="00E629BD"/>
    <w:rsid w:val="00E64B0C"/>
    <w:rsid w:val="00E705ED"/>
    <w:rsid w:val="00E73FCE"/>
    <w:rsid w:val="00E76784"/>
    <w:rsid w:val="00E81711"/>
    <w:rsid w:val="00E84F36"/>
    <w:rsid w:val="00E85890"/>
    <w:rsid w:val="00E916A0"/>
    <w:rsid w:val="00E95447"/>
    <w:rsid w:val="00E966B2"/>
    <w:rsid w:val="00EA5D4F"/>
    <w:rsid w:val="00EB08EC"/>
    <w:rsid w:val="00EB5D34"/>
    <w:rsid w:val="00EB70FB"/>
    <w:rsid w:val="00EC1E25"/>
    <w:rsid w:val="00EC53EE"/>
    <w:rsid w:val="00ED0D51"/>
    <w:rsid w:val="00ED0D89"/>
    <w:rsid w:val="00EE1C77"/>
    <w:rsid w:val="00EE2643"/>
    <w:rsid w:val="00EE2887"/>
    <w:rsid w:val="00EE72B8"/>
    <w:rsid w:val="00EF39BF"/>
    <w:rsid w:val="00EF56B9"/>
    <w:rsid w:val="00F0505C"/>
    <w:rsid w:val="00F07EA1"/>
    <w:rsid w:val="00F10AD6"/>
    <w:rsid w:val="00F200D9"/>
    <w:rsid w:val="00F24E4F"/>
    <w:rsid w:val="00F27B5C"/>
    <w:rsid w:val="00F3001A"/>
    <w:rsid w:val="00F40F32"/>
    <w:rsid w:val="00F6160F"/>
    <w:rsid w:val="00F701F2"/>
    <w:rsid w:val="00F830B1"/>
    <w:rsid w:val="00F949DE"/>
    <w:rsid w:val="00FB0690"/>
    <w:rsid w:val="00FB1A9E"/>
    <w:rsid w:val="00FB41A8"/>
    <w:rsid w:val="00FB715A"/>
    <w:rsid w:val="00FC1CA9"/>
    <w:rsid w:val="00FD2ED6"/>
    <w:rsid w:val="00FD3906"/>
    <w:rsid w:val="00FD3D25"/>
    <w:rsid w:val="00FE05E6"/>
    <w:rsid w:val="00FE723C"/>
    <w:rsid w:val="00FF0476"/>
    <w:rsid w:val="00FF2FF1"/>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98A3"/>
  <w15:docId w15:val="{5B86D705-5798-4FB9-8532-A9154854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0C80"/>
    <w:pPr>
      <w:jc w:val="both"/>
    </w:pPr>
    <w:rPr>
      <w:rFonts w:ascii="Arial" w:hAnsi="Arial"/>
      <w:sz w:val="22"/>
      <w:szCs w:val="22"/>
      <w:lang w:eastAsia="zh-CN"/>
    </w:rPr>
  </w:style>
  <w:style w:type="paragraph" w:styleId="Heading1">
    <w:name w:val="heading 1"/>
    <w:basedOn w:val="Normal"/>
    <w:next w:val="ssPara1"/>
    <w:link w:val="Heading1Char"/>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link w:val="ssPara1Char"/>
    <w:qFormat/>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uiPriority w:val="43"/>
    <w:qFormat/>
    <w:rsid w:val="00DB29D9"/>
    <w:pPr>
      <w:numPr>
        <w:ilvl w:val="1"/>
        <w:numId w:val="2"/>
      </w:numPr>
      <w:spacing w:after="260"/>
      <w:jc w:val="center"/>
    </w:pPr>
    <w:rPr>
      <w:b/>
      <w:caps/>
    </w:rPr>
  </w:style>
  <w:style w:type="paragraph" w:customStyle="1" w:styleId="ssRestartPart">
    <w:name w:val="ssRestartPart"/>
    <w:basedOn w:val="Normal"/>
    <w:next w:val="ssPara1"/>
    <w:uiPriority w:val="44"/>
    <w:rsid w:val="00DB29D9"/>
    <w:pPr>
      <w:numPr>
        <w:numId w:val="2"/>
      </w:numPr>
    </w:pPr>
    <w:rPr>
      <w:color w:val="FF0000"/>
    </w:rPr>
  </w:style>
  <w:style w:type="paragraph" w:customStyle="1" w:styleId="ssRestartSchedule">
    <w:name w:val="ssRestartSchedule"/>
    <w:basedOn w:val="Normal"/>
    <w:next w:val="ssPara1"/>
    <w:rsid w:val="008B5DC3"/>
    <w:pPr>
      <w:numPr>
        <w:numId w:val="3"/>
      </w:numPr>
    </w:pPr>
    <w:rPr>
      <w:color w:val="FF0000"/>
    </w:rPr>
  </w:style>
  <w:style w:type="paragraph" w:customStyle="1" w:styleId="ssqSchedule">
    <w:name w:val="ssqSchedule"/>
    <w:basedOn w:val="Normal"/>
    <w:next w:val="ssPara1"/>
    <w:rsid w:val="008B5DC3"/>
    <w:pPr>
      <w:numPr>
        <w:ilvl w:val="1"/>
        <w:numId w:val="3"/>
      </w:numPr>
      <w:spacing w:after="260"/>
      <w:jc w:val="center"/>
    </w:pPr>
    <w:rPr>
      <w:b/>
      <w:caps/>
    </w:rPr>
  </w:style>
  <w:style w:type="paragraph" w:customStyle="1" w:styleId="ssqExhibit">
    <w:name w:val="ssqExhibit"/>
    <w:basedOn w:val="Normal"/>
    <w:next w:val="ssPara1"/>
    <w:uiPriority w:val="41"/>
    <w:qFormat/>
    <w:rsid w:val="002468A8"/>
    <w:pPr>
      <w:numPr>
        <w:ilvl w:val="1"/>
        <w:numId w:val="4"/>
      </w:numPr>
      <w:spacing w:after="260"/>
      <w:jc w:val="center"/>
    </w:pPr>
    <w:rPr>
      <w:b/>
      <w:caps/>
    </w:rPr>
  </w:style>
  <w:style w:type="paragraph" w:customStyle="1" w:styleId="ssRestartExhibit">
    <w:name w:val="ssRestartExhibit"/>
    <w:basedOn w:val="Normal"/>
    <w:next w:val="ssPara1"/>
    <w:uiPriority w:val="42"/>
    <w:rsid w:val="002468A8"/>
    <w:pPr>
      <w:numPr>
        <w:numId w:val="4"/>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uiPriority w:val="39"/>
    <w:qFormat/>
    <w:rsid w:val="00CB7D04"/>
    <w:pPr>
      <w:numPr>
        <w:ilvl w:val="1"/>
        <w:numId w:val="5"/>
      </w:numPr>
      <w:spacing w:after="260"/>
      <w:jc w:val="center"/>
    </w:pPr>
    <w:rPr>
      <w:b/>
      <w:caps/>
    </w:rPr>
  </w:style>
  <w:style w:type="paragraph" w:customStyle="1" w:styleId="ssRestartAppendix">
    <w:name w:val="ssRestartAppendix"/>
    <w:basedOn w:val="Normal"/>
    <w:next w:val="ssPara1"/>
    <w:uiPriority w:val="40"/>
    <w:rsid w:val="004108F5"/>
    <w:pPr>
      <w:numPr>
        <w:numId w:val="5"/>
      </w:numPr>
    </w:pPr>
    <w:rPr>
      <w:color w:val="FF0000"/>
    </w:rPr>
  </w:style>
  <w:style w:type="paragraph" w:styleId="TOC1">
    <w:name w:val="toc 1"/>
    <w:basedOn w:val="Normal"/>
    <w:next w:val="Normal"/>
    <w:autoRedefine/>
    <w:uiPriority w:val="39"/>
    <w:rsid w:val="00B87789"/>
    <w:pPr>
      <w:tabs>
        <w:tab w:val="left" w:leader="dot" w:pos="18144"/>
      </w:tabs>
      <w:spacing w:before="220"/>
      <w:ind w:left="709" w:right="595" w:hanging="709"/>
    </w:pPr>
  </w:style>
  <w:style w:type="paragraph" w:styleId="TOC2">
    <w:name w:val="toc 2"/>
    <w:basedOn w:val="Normal"/>
    <w:next w:val="Normal"/>
    <w:autoRedefine/>
    <w:uiPriority w:val="39"/>
    <w:rsid w:val="00B87789"/>
    <w:pPr>
      <w:tabs>
        <w:tab w:val="left" w:leader="dot" w:pos="18144"/>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paragraph" w:styleId="BalloonText">
    <w:name w:val="Balloon Text"/>
    <w:basedOn w:val="Normal"/>
    <w:link w:val="BalloonTextChar"/>
    <w:rsid w:val="00B87789"/>
    <w:rPr>
      <w:rFonts w:ascii="Tahoma" w:hAnsi="Tahoma" w:cs="Tahoma"/>
      <w:sz w:val="16"/>
      <w:szCs w:val="16"/>
    </w:rPr>
  </w:style>
  <w:style w:type="character" w:customStyle="1" w:styleId="BalloonTextChar">
    <w:name w:val="Balloon Text Char"/>
    <w:basedOn w:val="DefaultParagraphFont"/>
    <w:link w:val="BalloonText"/>
    <w:rsid w:val="00B87789"/>
    <w:rPr>
      <w:rFonts w:ascii="Tahoma" w:hAnsi="Tahoma" w:cs="Tahoma"/>
      <w:sz w:val="16"/>
      <w:szCs w:val="16"/>
      <w:lang w:eastAsia="zh-CN"/>
    </w:rPr>
  </w:style>
  <w:style w:type="character" w:styleId="Hyperlink">
    <w:name w:val="Hyperlink"/>
    <w:basedOn w:val="DefaultParagraphFont"/>
    <w:uiPriority w:val="99"/>
    <w:unhideWhenUsed/>
    <w:rsid w:val="006A2ADD"/>
    <w:rPr>
      <w:color w:val="69889A"/>
      <w:u w:val="single"/>
    </w:rPr>
  </w:style>
  <w:style w:type="paragraph" w:styleId="Footer">
    <w:name w:val="footer"/>
    <w:basedOn w:val="Normal"/>
    <w:link w:val="FooterChar"/>
    <w:rsid w:val="00B87789"/>
    <w:pPr>
      <w:tabs>
        <w:tab w:val="center" w:pos="4513"/>
        <w:tab w:val="right" w:pos="9026"/>
      </w:tabs>
    </w:pPr>
  </w:style>
  <w:style w:type="character" w:customStyle="1" w:styleId="FooterChar">
    <w:name w:val="Footer Char"/>
    <w:basedOn w:val="DefaultParagraphFont"/>
    <w:link w:val="Footer"/>
    <w:rsid w:val="00B87789"/>
    <w:rPr>
      <w:rFonts w:ascii="Arial" w:hAnsi="Arial"/>
      <w:sz w:val="22"/>
      <w:szCs w:val="22"/>
      <w:lang w:eastAsia="zh-CN"/>
    </w:rPr>
  </w:style>
  <w:style w:type="character" w:styleId="PageNumber">
    <w:name w:val="page number"/>
    <w:basedOn w:val="DefaultParagraphFont"/>
    <w:rsid w:val="00B87789"/>
  </w:style>
  <w:style w:type="table" w:styleId="TableGrid">
    <w:name w:val="Table Grid"/>
    <w:basedOn w:val="TableNormal"/>
    <w:rsid w:val="0025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F7870"/>
    <w:rPr>
      <w:rFonts w:ascii="Arial" w:hAnsi="Arial" w:cs="Arial"/>
      <w:b/>
      <w:bCs/>
      <w:kern w:val="32"/>
      <w:sz w:val="22"/>
      <w:szCs w:val="32"/>
      <w:u w:val="single"/>
      <w:lang w:eastAsia="zh-CN"/>
    </w:rPr>
  </w:style>
  <w:style w:type="character" w:customStyle="1" w:styleId="ssPara1Char">
    <w:name w:val="ssPara1 Char"/>
    <w:link w:val="ssPara1"/>
    <w:locked/>
    <w:rsid w:val="00EF56B9"/>
    <w:rPr>
      <w:rFonts w:ascii="Arial" w:hAnsi="Arial"/>
      <w:sz w:val="22"/>
      <w:szCs w:val="22"/>
      <w:lang w:eastAsia="zh-CN"/>
    </w:rPr>
  </w:style>
  <w:style w:type="paragraph" w:styleId="Header">
    <w:name w:val="header"/>
    <w:basedOn w:val="Normal"/>
    <w:link w:val="HeaderChar"/>
    <w:uiPriority w:val="99"/>
    <w:rsid w:val="00EF56B9"/>
    <w:pPr>
      <w:tabs>
        <w:tab w:val="center" w:pos="4513"/>
        <w:tab w:val="right" w:pos="9026"/>
      </w:tabs>
    </w:pPr>
  </w:style>
  <w:style w:type="character" w:customStyle="1" w:styleId="HeaderChar">
    <w:name w:val="Header Char"/>
    <w:basedOn w:val="DefaultParagraphFont"/>
    <w:link w:val="Header"/>
    <w:uiPriority w:val="99"/>
    <w:rsid w:val="00EF56B9"/>
    <w:rPr>
      <w:rFonts w:ascii="Arial" w:hAnsi="Arial"/>
      <w:sz w:val="22"/>
      <w:szCs w:val="22"/>
      <w:lang w:eastAsia="zh-CN"/>
    </w:rPr>
  </w:style>
  <w:style w:type="numbering" w:customStyle="1" w:styleId="PartNumbering">
    <w:name w:val="Part Numbering"/>
    <w:uiPriority w:val="99"/>
    <w:rsid w:val="00DC757C"/>
    <w:pPr>
      <w:numPr>
        <w:numId w:val="6"/>
      </w:numPr>
    </w:pPr>
  </w:style>
  <w:style w:type="paragraph" w:styleId="ListParagraph">
    <w:name w:val="List Paragraph"/>
    <w:basedOn w:val="Normal"/>
    <w:uiPriority w:val="34"/>
    <w:qFormat/>
    <w:rsid w:val="00290310"/>
    <w:pPr>
      <w:spacing w:after="200" w:line="276" w:lineRule="auto"/>
      <w:ind w:left="720"/>
      <w:contextualSpacing/>
      <w:jc w:val="left"/>
    </w:pPr>
    <w:rPr>
      <w:rFonts w:asciiTheme="minorHAnsi" w:eastAsiaTheme="minorHAnsi" w:hAnsiTheme="minorHAnsi" w:cstheme="minorBidi"/>
      <w:lang w:eastAsia="en-US"/>
    </w:rPr>
  </w:style>
  <w:style w:type="numbering" w:customStyle="1" w:styleId="AppendixNumbering">
    <w:name w:val="Appendix Numbering"/>
    <w:uiPriority w:val="99"/>
    <w:rsid w:val="00BF6C80"/>
    <w:pPr>
      <w:numPr>
        <w:numId w:val="7"/>
      </w:numPr>
    </w:pPr>
  </w:style>
  <w:style w:type="paragraph" w:customStyle="1" w:styleId="BodyParagraphText">
    <w:name w:val="Body Paragraph Text"/>
    <w:basedOn w:val="Normal"/>
    <w:rsid w:val="00BF6C80"/>
    <w:pPr>
      <w:keepLines/>
      <w:spacing w:before="160" w:line="260" w:lineRule="exact"/>
      <w:jc w:val="left"/>
    </w:pPr>
    <w:rPr>
      <w:rFonts w:eastAsia="Times New Roman"/>
      <w:lang w:eastAsia="en-GB"/>
    </w:rPr>
  </w:style>
  <w:style w:type="numbering" w:customStyle="1" w:styleId="ListHeadings">
    <w:name w:val="ListHeadings"/>
    <w:rsid w:val="00241C81"/>
    <w:pPr>
      <w:numPr>
        <w:numId w:val="8"/>
      </w:numPr>
    </w:pPr>
  </w:style>
  <w:style w:type="paragraph" w:customStyle="1" w:styleId="BulletPoint1">
    <w:name w:val="Bullet Point 1"/>
    <w:basedOn w:val="Normal"/>
    <w:rsid w:val="00241C81"/>
    <w:pPr>
      <w:numPr>
        <w:numId w:val="14"/>
      </w:numPr>
      <w:tabs>
        <w:tab w:val="left" w:pos="684"/>
      </w:tabs>
      <w:spacing w:before="120" w:after="40"/>
      <w:jc w:val="left"/>
    </w:pPr>
    <w:rPr>
      <w:rFonts w:eastAsia="Times New Roman"/>
      <w:color w:val="000000"/>
      <w:sz w:val="18"/>
      <w:szCs w:val="4"/>
      <w:lang w:eastAsia="en-GB"/>
    </w:rPr>
  </w:style>
  <w:style w:type="paragraph" w:customStyle="1" w:styleId="BulletPoint3">
    <w:name w:val="Bullet Point 3"/>
    <w:basedOn w:val="ListParagraph"/>
    <w:qFormat/>
    <w:rsid w:val="00B137F1"/>
    <w:pPr>
      <w:numPr>
        <w:numId w:val="9"/>
      </w:numPr>
      <w:spacing w:before="120" w:after="120" w:line="240" w:lineRule="auto"/>
      <w:ind w:left="1071" w:hanging="357"/>
      <w:contextualSpacing w:val="0"/>
    </w:pPr>
    <w:rPr>
      <w:rFonts w:ascii="Arial" w:eastAsia="Times New Roman" w:hAnsi="Arial" w:cs="Arial"/>
      <w:iCs/>
      <w:sz w:val="18"/>
      <w:szCs w:val="18"/>
      <w:lang w:eastAsia="en-GB"/>
    </w:rPr>
  </w:style>
  <w:style w:type="paragraph" w:customStyle="1" w:styleId="BulletPoint2">
    <w:name w:val="Bullet Point 2"/>
    <w:basedOn w:val="BulletPoint1"/>
    <w:rsid w:val="00B137F1"/>
    <w:pPr>
      <w:numPr>
        <w:numId w:val="11"/>
      </w:numPr>
      <w:tabs>
        <w:tab w:val="clear" w:pos="684"/>
      </w:tabs>
      <w:spacing w:before="80"/>
    </w:pPr>
  </w:style>
  <w:style w:type="numbering" w:customStyle="1" w:styleId="SectionNumbering">
    <w:name w:val="SectionNumbering"/>
    <w:rsid w:val="00B137F1"/>
    <w:pPr>
      <w:numPr>
        <w:numId w:val="10"/>
      </w:numPr>
    </w:pPr>
  </w:style>
  <w:style w:type="numbering" w:customStyle="1" w:styleId="ExhibitNumbering">
    <w:name w:val="Exhibit Numbering"/>
    <w:uiPriority w:val="99"/>
    <w:rsid w:val="002D12DB"/>
    <w:pPr>
      <w:numPr>
        <w:numId w:val="12"/>
      </w:numPr>
    </w:pPr>
  </w:style>
  <w:style w:type="paragraph" w:styleId="TOC5">
    <w:name w:val="toc 5"/>
    <w:basedOn w:val="Normal"/>
    <w:next w:val="Normal"/>
    <w:autoRedefine/>
    <w:rsid w:val="00482034"/>
    <w:pPr>
      <w:spacing w:after="100"/>
      <w:ind w:left="880"/>
    </w:pPr>
  </w:style>
  <w:style w:type="numbering" w:customStyle="1" w:styleId="ExhibitNumbering0">
    <w:name w:val="ExhibitNumbering"/>
    <w:rsid w:val="00482034"/>
  </w:style>
  <w:style w:type="numbering" w:customStyle="1" w:styleId="ListHeadings0">
    <w:name w:val="List Headings"/>
    <w:uiPriority w:val="99"/>
    <w:rsid w:val="000E6EFB"/>
  </w:style>
  <w:style w:type="paragraph" w:customStyle="1" w:styleId="Topic">
    <w:name w:val="Topic"/>
    <w:basedOn w:val="Normal"/>
    <w:qFormat/>
    <w:rsid w:val="000E6EFB"/>
    <w:pPr>
      <w:jc w:val="left"/>
    </w:pPr>
    <w:rPr>
      <w:rFonts w:eastAsia="Arial"/>
      <w:b/>
      <w:color w:val="FFFFFF" w:themeColor="background1"/>
      <w:sz w:val="18"/>
      <w:lang w:eastAsia="en-GB"/>
    </w:rPr>
  </w:style>
  <w:style w:type="paragraph" w:customStyle="1" w:styleId="Default">
    <w:name w:val="Default"/>
    <w:rsid w:val="00F40F32"/>
    <w:pPr>
      <w:autoSpaceDE w:val="0"/>
      <w:autoSpaceDN w:val="0"/>
      <w:adjustRightInd w:val="0"/>
    </w:pPr>
    <w:rPr>
      <w:rFonts w:ascii="Arial" w:hAnsi="Arial" w:cs="Arial"/>
      <w:color w:val="000000"/>
      <w:sz w:val="24"/>
      <w:szCs w:val="24"/>
      <w:lang w:val="en-US"/>
    </w:rPr>
  </w:style>
  <w:style w:type="paragraph" w:styleId="FootnoteText">
    <w:name w:val="footnote text"/>
    <w:basedOn w:val="Normal"/>
    <w:link w:val="FootnoteTextChar"/>
    <w:rsid w:val="005254D2"/>
    <w:rPr>
      <w:sz w:val="20"/>
      <w:szCs w:val="20"/>
    </w:rPr>
  </w:style>
  <w:style w:type="character" w:customStyle="1" w:styleId="FootnoteTextChar">
    <w:name w:val="Footnote Text Char"/>
    <w:basedOn w:val="DefaultParagraphFont"/>
    <w:link w:val="FootnoteText"/>
    <w:rsid w:val="005254D2"/>
    <w:rPr>
      <w:rFonts w:ascii="Arial" w:hAnsi="Arial"/>
      <w:lang w:eastAsia="zh-CN"/>
    </w:rPr>
  </w:style>
  <w:style w:type="character" w:styleId="FootnoteReference">
    <w:name w:val="footnote reference"/>
    <w:basedOn w:val="DefaultParagraphFont"/>
    <w:rsid w:val="00525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86121">
      <w:bodyDiv w:val="1"/>
      <w:marLeft w:val="0"/>
      <w:marRight w:val="0"/>
      <w:marTop w:val="0"/>
      <w:marBottom w:val="0"/>
      <w:divBdr>
        <w:top w:val="none" w:sz="0" w:space="0" w:color="auto"/>
        <w:left w:val="none" w:sz="0" w:space="0" w:color="auto"/>
        <w:bottom w:val="none" w:sz="0" w:space="0" w:color="auto"/>
        <w:right w:val="none" w:sz="0" w:space="0" w:color="auto"/>
      </w:divBdr>
    </w:div>
    <w:div w:id="485972892">
      <w:bodyDiv w:val="1"/>
      <w:marLeft w:val="0"/>
      <w:marRight w:val="0"/>
      <w:marTop w:val="0"/>
      <w:marBottom w:val="0"/>
      <w:divBdr>
        <w:top w:val="none" w:sz="0" w:space="0" w:color="auto"/>
        <w:left w:val="none" w:sz="0" w:space="0" w:color="auto"/>
        <w:bottom w:val="none" w:sz="0" w:space="0" w:color="auto"/>
        <w:right w:val="none" w:sz="0" w:space="0" w:color="auto"/>
      </w:divBdr>
    </w:div>
    <w:div w:id="525602207">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59232034">
      <w:bodyDiv w:val="1"/>
      <w:marLeft w:val="0"/>
      <w:marRight w:val="0"/>
      <w:marTop w:val="0"/>
      <w:marBottom w:val="0"/>
      <w:divBdr>
        <w:top w:val="none" w:sz="0" w:space="0" w:color="auto"/>
        <w:left w:val="none" w:sz="0" w:space="0" w:color="auto"/>
        <w:bottom w:val="none" w:sz="0" w:space="0" w:color="auto"/>
        <w:right w:val="none" w:sz="0" w:space="0" w:color="auto"/>
      </w:divBdr>
    </w:div>
    <w:div w:id="948583724">
      <w:bodyDiv w:val="1"/>
      <w:marLeft w:val="0"/>
      <w:marRight w:val="0"/>
      <w:marTop w:val="0"/>
      <w:marBottom w:val="0"/>
      <w:divBdr>
        <w:top w:val="none" w:sz="0" w:space="0" w:color="auto"/>
        <w:left w:val="none" w:sz="0" w:space="0" w:color="auto"/>
        <w:bottom w:val="none" w:sz="0" w:space="0" w:color="auto"/>
        <w:right w:val="none" w:sz="0" w:space="0" w:color="auto"/>
      </w:divBdr>
      <w:divsChild>
        <w:div w:id="1369333137">
          <w:marLeft w:val="0"/>
          <w:marRight w:val="0"/>
          <w:marTop w:val="0"/>
          <w:marBottom w:val="0"/>
          <w:divBdr>
            <w:top w:val="none" w:sz="0" w:space="0" w:color="auto"/>
            <w:left w:val="none" w:sz="0" w:space="0" w:color="auto"/>
            <w:bottom w:val="none" w:sz="0" w:space="0" w:color="auto"/>
            <w:right w:val="none" w:sz="0" w:space="0" w:color="auto"/>
          </w:divBdr>
          <w:divsChild>
            <w:div w:id="1152218532">
              <w:marLeft w:val="0"/>
              <w:marRight w:val="0"/>
              <w:marTop w:val="0"/>
              <w:marBottom w:val="0"/>
              <w:divBdr>
                <w:top w:val="none" w:sz="0" w:space="0" w:color="auto"/>
                <w:left w:val="none" w:sz="0" w:space="0" w:color="auto"/>
                <w:bottom w:val="none" w:sz="0" w:space="0" w:color="auto"/>
                <w:right w:val="none" w:sz="0" w:space="0" w:color="auto"/>
              </w:divBdr>
              <w:divsChild>
                <w:div w:id="641540574">
                  <w:marLeft w:val="0"/>
                  <w:marRight w:val="0"/>
                  <w:marTop w:val="0"/>
                  <w:marBottom w:val="0"/>
                  <w:divBdr>
                    <w:top w:val="single" w:sz="6" w:space="30" w:color="E7E7E7"/>
                    <w:left w:val="single" w:sz="6" w:space="0" w:color="E7E7E7"/>
                    <w:bottom w:val="single" w:sz="6" w:space="19" w:color="E7E7E7"/>
                    <w:right w:val="single" w:sz="6" w:space="0" w:color="E7E7E7"/>
                  </w:divBdr>
                  <w:divsChild>
                    <w:div w:id="779836603">
                      <w:marLeft w:val="0"/>
                      <w:marRight w:val="0"/>
                      <w:marTop w:val="0"/>
                      <w:marBottom w:val="0"/>
                      <w:divBdr>
                        <w:top w:val="none" w:sz="0" w:space="0" w:color="auto"/>
                        <w:left w:val="none" w:sz="0" w:space="0" w:color="auto"/>
                        <w:bottom w:val="none" w:sz="0" w:space="0" w:color="auto"/>
                        <w:right w:val="none" w:sz="0" w:space="0" w:color="auto"/>
                      </w:divBdr>
                      <w:divsChild>
                        <w:div w:id="1492990564">
                          <w:marLeft w:val="0"/>
                          <w:marRight w:val="0"/>
                          <w:marTop w:val="0"/>
                          <w:marBottom w:val="0"/>
                          <w:divBdr>
                            <w:top w:val="none" w:sz="0" w:space="0" w:color="auto"/>
                            <w:left w:val="none" w:sz="0" w:space="0" w:color="auto"/>
                            <w:bottom w:val="none" w:sz="0" w:space="0" w:color="auto"/>
                            <w:right w:val="none" w:sz="0" w:space="0" w:color="auto"/>
                          </w:divBdr>
                          <w:divsChild>
                            <w:div w:id="367607257">
                              <w:marLeft w:val="0"/>
                              <w:marRight w:val="0"/>
                              <w:marTop w:val="0"/>
                              <w:marBottom w:val="0"/>
                              <w:divBdr>
                                <w:top w:val="none" w:sz="0" w:space="0" w:color="auto"/>
                                <w:left w:val="none" w:sz="0" w:space="0" w:color="auto"/>
                                <w:bottom w:val="none" w:sz="0" w:space="0" w:color="auto"/>
                                <w:right w:val="none" w:sz="0" w:space="0" w:color="auto"/>
                              </w:divBdr>
                              <w:divsChild>
                                <w:div w:id="12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97907">
      <w:bodyDiv w:val="1"/>
      <w:marLeft w:val="0"/>
      <w:marRight w:val="0"/>
      <w:marTop w:val="0"/>
      <w:marBottom w:val="0"/>
      <w:divBdr>
        <w:top w:val="none" w:sz="0" w:space="0" w:color="auto"/>
        <w:left w:val="none" w:sz="0" w:space="0" w:color="auto"/>
        <w:bottom w:val="none" w:sz="0" w:space="0" w:color="auto"/>
        <w:right w:val="none" w:sz="0" w:space="0" w:color="auto"/>
      </w:divBdr>
    </w:div>
    <w:div w:id="21462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egifrance.gouv.fr/affichCodeArticle.do;jsessionid=0187270DD9D50AEF6B9875122E429901.tpdila21v_2?idArticle=LEGIARTI000032757220&amp;cidTexte=LEGITEXT000006072026&amp;dateTexte=20180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emplate%20Management%20System\Simmons\Templates\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2015-11-03T00:00:00</PublishDate>
  <Abstract/>
  <CompanyAddress/>
  <CompanyPhone/>
  <CompanyFax/>
  <CompanyEmail/>
</CoverPage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A128C0-D393-4CAE-B1B8-6EAEFADE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General.dotx</Template>
  <TotalTime>12</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MiFID 2/MiFIR Regulatory Tracker</vt:lpstr>
    </vt:vector>
  </TitlesOfParts>
  <Company>Mitsubishi UFJ Securities International Plc</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 2/MiFIR Regulatory Tracker</dc:title>
  <dc:creator>Simmons &amp; Simmons – 3 November 2015</dc:creator>
  <cp:lastModifiedBy>Patrick Evans</cp:lastModifiedBy>
  <cp:revision>11</cp:revision>
  <cp:lastPrinted>2016-03-14T00:03:00Z</cp:lastPrinted>
  <dcterms:created xsi:type="dcterms:W3CDTF">2018-08-23T10:34:00Z</dcterms:created>
  <dcterms:modified xsi:type="dcterms:W3CDTF">2020-02-11T11:35:00Z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2feab436-c872-450e-937a-d56a88439401</vt:lpwstr>
  </property>
  <property fmtid="{D5CDD505-2E9C-101B-9397-08002B2CF9AE}" pid="3" name="MAIL_MSG_ID1">
    <vt:lpwstr>GEAAO+/T9t20xwnIiZT+WmoHSnkcYAt2fi7l2C1+iF/1VzS7EN7NTCGpookR5SEHufTht8cohigi7qUE
Opsn/c16y8WQbbTeAOJSsYtHEFwSyEaL6eX4RlUgR5Y5QSSWPI+ec7TEds1/fnFC8TNnTR2v2UOV
ZQJ9yBSRAE0HvCHEXIA896p0/rOcDFHxankUxCeuFjO9kJ19Mfss3OzKpVNhNbTTIoy18wPiT1Lu
QEI08CTKsjbvyKDwM</vt:lpwstr>
  </property>
  <property fmtid="{D5CDD505-2E9C-101B-9397-08002B2CF9AE}" pid="4" name="RESPONSE_SENDER_NAME">
    <vt:lpwstr>sAAAGYoQX4c3X/I0oOww98A2DNhXFYtPiBhyT5cNq8caE7U=</vt:lpwstr>
  </property>
  <property fmtid="{D5CDD505-2E9C-101B-9397-08002B2CF9AE}" pid="5" name="EMAIL_OWNER_ADDRESS">
    <vt:lpwstr>MBAACiiZ8cmaJUVsi0vs5dL5b1yrVQUfHP0vC3aP8PA6LvfumY3vUdpvotc4SJ2i0VkdfO07lF3zQuk=</vt:lpwstr>
  </property>
  <property fmtid="{D5CDD505-2E9C-101B-9397-08002B2CF9AE}" pid="6" name="MAIL_MSG_ID2">
    <vt:lpwstr>clOT0rL+N16</vt:lpwstr>
  </property>
</Properties>
</file>